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widowControl/>
        <w:shd w:val="clear" w:color="050000" w:fill="FFFFFF"/>
        <w:jc w:val="center"/>
      </w:pPr>
      <w:r>
        <w:rPr>
          <w:rFonts w:ascii="方正小标宋简体" w:hAnsi="方正小标宋简体" w:eastAsia="方正小标宋简体" w:cs="方正小标宋简体"/>
          <w:color w:val="333333"/>
          <w:sz w:val="43"/>
          <w:szCs w:val="43"/>
          <w:shd w:val="clear" w:color="040000" w:fill="FFFFFF"/>
        </w:rPr>
        <w:t>张店区发展和改革局</w:t>
      </w:r>
      <w:r>
        <w:rPr>
          <w:rFonts w:hint="eastAsia" w:ascii="方正小标宋简体" w:hAnsi="方正小标宋简体" w:eastAsia="方正小标宋简体" w:cs="方正小标宋简体"/>
          <w:color w:val="333333"/>
          <w:sz w:val="43"/>
          <w:szCs w:val="43"/>
          <w:shd w:val="clear" w:color="040000" w:fill="FFFFFF"/>
          <w:lang w:val="en-US" w:eastAsia="zh-CN"/>
        </w:rPr>
        <w:t>2020</w:t>
      </w:r>
      <w:r>
        <w:rPr>
          <w:rFonts w:hint="eastAsia" w:ascii="方正小标宋简体" w:hAnsi="方正小标宋简体" w:eastAsia="方正小标宋简体" w:cs="方正小标宋简体"/>
          <w:color w:val="333333"/>
          <w:sz w:val="43"/>
          <w:szCs w:val="43"/>
          <w:shd w:val="clear" w:color="040000" w:fill="FFFFFF"/>
        </w:rPr>
        <w:t>年政府信息公开工作年度报告</w:t>
      </w:r>
    </w:p>
    <w:p>
      <w:pPr>
        <w:pStyle w:val="2"/>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ind w:left="0" w:right="0" w:firstLine="646"/>
      </w:pPr>
      <w:r>
        <w:rPr>
          <w:rFonts w:hint="eastAsia" w:ascii="宋体" w:hAnsi="宋体" w:eastAsia="宋体" w:cs="宋体"/>
          <w:color w:val="333333"/>
          <w:sz w:val="24"/>
          <w:szCs w:val="24"/>
          <w:shd w:val="clear" w:color="040000" w:fill="FFFFFF"/>
        </w:rPr>
        <w:t> </w:t>
      </w:r>
      <w:r>
        <w:rPr>
          <w:rFonts w:ascii="仿宋" w:hAnsi="仿宋" w:eastAsia="仿宋" w:cs="仿宋"/>
          <w:i w:val="0"/>
          <w:caps w:val="0"/>
          <w:color w:val="000000"/>
          <w:spacing w:val="0"/>
          <w:sz w:val="32"/>
          <w:szCs w:val="32"/>
          <w:shd w:val="clear" w:color="070000" w:fill="FFFFFF"/>
        </w:rPr>
        <w:t>本报告根据《中华人民共和国政府信息公开条例》的规定，由张店区</w:t>
      </w:r>
      <w:r>
        <w:rPr>
          <w:rFonts w:hint="eastAsia" w:ascii="仿宋" w:hAnsi="仿宋" w:eastAsia="仿宋" w:cs="仿宋"/>
          <w:i w:val="0"/>
          <w:caps w:val="0"/>
          <w:color w:val="000000"/>
          <w:spacing w:val="0"/>
          <w:sz w:val="32"/>
          <w:szCs w:val="32"/>
          <w:shd w:val="clear" w:color="070000" w:fill="FFFFFF"/>
          <w:lang w:val="en-US" w:eastAsia="zh-CN"/>
        </w:rPr>
        <w:t>发展和改革</w:t>
      </w:r>
      <w:r>
        <w:rPr>
          <w:rFonts w:ascii="仿宋" w:hAnsi="仿宋" w:eastAsia="仿宋" w:cs="仿宋"/>
          <w:i w:val="0"/>
          <w:caps w:val="0"/>
          <w:color w:val="000000"/>
          <w:spacing w:val="0"/>
          <w:sz w:val="32"/>
          <w:szCs w:val="32"/>
          <w:shd w:val="clear" w:color="070000" w:fill="FFFFFF"/>
        </w:rPr>
        <w:t>局编制。统计数据的时限自</w:t>
      </w:r>
      <w:r>
        <w:rPr>
          <w:rFonts w:hint="eastAsia" w:ascii="仿宋" w:hAnsi="仿宋" w:eastAsia="仿宋" w:cs="仿宋"/>
          <w:i w:val="0"/>
          <w:caps w:val="0"/>
          <w:color w:val="000000"/>
          <w:spacing w:val="0"/>
          <w:sz w:val="32"/>
          <w:szCs w:val="32"/>
          <w:shd w:val="clear" w:color="070000" w:fill="FFFFFF"/>
        </w:rPr>
        <w:t>2020年1月1日至2020年12月31日。本报告电子版可在淄博市张店区人民政府政府信息网站查阅或下载。如对报告内容有疑问，请与</w:t>
      </w:r>
      <w:r>
        <w:rPr>
          <w:rFonts w:ascii="仿宋" w:hAnsi="仿宋" w:eastAsia="仿宋" w:cs="仿宋"/>
          <w:i w:val="0"/>
          <w:caps w:val="0"/>
          <w:color w:val="000000"/>
          <w:spacing w:val="0"/>
          <w:sz w:val="32"/>
          <w:szCs w:val="32"/>
          <w:shd w:val="clear" w:color="070000" w:fill="FFFFFF"/>
        </w:rPr>
        <w:t>张店区</w:t>
      </w:r>
      <w:r>
        <w:rPr>
          <w:rFonts w:hint="eastAsia" w:ascii="仿宋" w:hAnsi="仿宋" w:eastAsia="仿宋" w:cs="仿宋"/>
          <w:i w:val="0"/>
          <w:caps w:val="0"/>
          <w:color w:val="000000"/>
          <w:spacing w:val="0"/>
          <w:sz w:val="32"/>
          <w:szCs w:val="32"/>
          <w:shd w:val="clear" w:color="070000" w:fill="FFFFFF"/>
          <w:lang w:val="en-US" w:eastAsia="zh-CN"/>
        </w:rPr>
        <w:t>发展和改革</w:t>
      </w:r>
      <w:r>
        <w:rPr>
          <w:rFonts w:ascii="仿宋" w:hAnsi="仿宋" w:eastAsia="仿宋" w:cs="仿宋"/>
          <w:i w:val="0"/>
          <w:caps w:val="0"/>
          <w:color w:val="000000"/>
          <w:spacing w:val="0"/>
          <w:sz w:val="32"/>
          <w:szCs w:val="32"/>
          <w:shd w:val="clear" w:color="070000" w:fill="FFFFFF"/>
        </w:rPr>
        <w:t>局</w:t>
      </w:r>
      <w:r>
        <w:rPr>
          <w:rFonts w:hint="eastAsia" w:ascii="仿宋" w:hAnsi="仿宋" w:eastAsia="仿宋" w:cs="仿宋"/>
          <w:i w:val="0"/>
          <w:caps w:val="0"/>
          <w:color w:val="000000"/>
          <w:spacing w:val="0"/>
          <w:sz w:val="32"/>
          <w:szCs w:val="32"/>
          <w:shd w:val="clear" w:color="070000" w:fill="FFFFFF"/>
        </w:rPr>
        <w:t>办公室联系（地址：山东省淄博市张店区</w:t>
      </w:r>
      <w:r>
        <w:rPr>
          <w:rFonts w:hint="eastAsia" w:ascii="仿宋" w:hAnsi="仿宋" w:eastAsia="仿宋" w:cs="仿宋"/>
          <w:i w:val="0"/>
          <w:caps w:val="0"/>
          <w:color w:val="000000"/>
          <w:spacing w:val="0"/>
          <w:sz w:val="32"/>
          <w:szCs w:val="32"/>
          <w:shd w:val="clear" w:color="070000" w:fill="FFFFFF"/>
          <w:lang w:val="en-US" w:eastAsia="zh-CN"/>
        </w:rPr>
        <w:t>新村西路226</w:t>
      </w:r>
      <w:r>
        <w:rPr>
          <w:rFonts w:hint="eastAsia" w:ascii="仿宋" w:hAnsi="仿宋" w:eastAsia="仿宋" w:cs="仿宋"/>
          <w:i w:val="0"/>
          <w:caps w:val="0"/>
          <w:color w:val="000000"/>
          <w:spacing w:val="0"/>
          <w:sz w:val="32"/>
          <w:szCs w:val="32"/>
          <w:shd w:val="clear" w:color="070000" w:fill="FFFFFF"/>
        </w:rPr>
        <w:t>号;邮编:255000;电话：0533-</w:t>
      </w:r>
      <w:r>
        <w:rPr>
          <w:rFonts w:hint="eastAsia" w:ascii="仿宋" w:hAnsi="仿宋" w:eastAsia="仿宋" w:cs="仿宋"/>
          <w:i w:val="0"/>
          <w:caps w:val="0"/>
          <w:color w:val="000000"/>
          <w:spacing w:val="0"/>
          <w:sz w:val="32"/>
          <w:szCs w:val="32"/>
          <w:shd w:val="clear" w:color="070000" w:fill="FFFFFF"/>
          <w:lang w:val="en-US" w:eastAsia="zh-CN"/>
        </w:rPr>
        <w:t>2869859</w:t>
      </w:r>
      <w:r>
        <w:rPr>
          <w:rFonts w:hint="eastAsia" w:ascii="仿宋" w:hAnsi="仿宋" w:eastAsia="仿宋" w:cs="仿宋"/>
          <w:i w:val="0"/>
          <w:caps w:val="0"/>
          <w:color w:val="000000"/>
          <w:spacing w:val="0"/>
          <w:sz w:val="32"/>
          <w:szCs w:val="32"/>
          <w:shd w:val="clear" w:color="070000" w:fill="FFFFFF"/>
        </w:rPr>
        <w:t>）。</w:t>
      </w:r>
    </w:p>
    <w:p>
      <w:pPr>
        <w:pStyle w:val="2"/>
        <w:widowControl/>
        <w:shd w:val="clear" w:color="050000" w:fill="FFFFFF"/>
        <w:ind w:left="0" w:firstLine="645"/>
        <w:jc w:val="both"/>
      </w:pPr>
      <w:r>
        <w:rPr>
          <w:rFonts w:ascii="黑体" w:hAnsi="宋体" w:eastAsia="黑体" w:cs="黑体"/>
          <w:color w:val="333333"/>
          <w:sz w:val="31"/>
          <w:szCs w:val="31"/>
          <w:shd w:val="clear" w:color="040000" w:fill="FFFFFF"/>
        </w:rPr>
        <w:t>一、</w:t>
      </w:r>
      <w:r>
        <w:rPr>
          <w:rFonts w:hint="eastAsia" w:ascii="黑体" w:hAnsi="宋体" w:eastAsia="黑体" w:cs="黑体"/>
          <w:color w:val="333333"/>
          <w:sz w:val="31"/>
          <w:szCs w:val="31"/>
          <w:shd w:val="clear" w:color="040000" w:fill="FFFFFF"/>
        </w:rPr>
        <w:t>总体情况</w:t>
      </w:r>
    </w:p>
    <w:p>
      <w:pPr>
        <w:pStyle w:val="2"/>
        <w:widowControl/>
        <w:shd w:val="clear" w:color="050000" w:fill="FFFFFF"/>
        <w:ind w:left="0" w:firstLine="645"/>
        <w:jc w:val="both"/>
      </w:pPr>
      <w:r>
        <w:rPr>
          <w:rFonts w:hint="eastAsia" w:ascii="仿宋_GB2312" w:eastAsia="仿宋_GB2312" w:cs="仿宋_GB2312"/>
          <w:sz w:val="31"/>
          <w:szCs w:val="31"/>
          <w:shd w:val="clear" w:color="030000" w:fill="FFFFFF"/>
          <w:lang w:val="en-US" w:eastAsia="zh-CN"/>
        </w:rPr>
        <w:t>2020</w:t>
      </w:r>
      <w:r>
        <w:rPr>
          <w:rFonts w:hint="eastAsia" w:ascii="仿宋_GB2312" w:eastAsia="仿宋_GB2312" w:cs="仿宋_GB2312"/>
          <w:sz w:val="31"/>
          <w:szCs w:val="31"/>
          <w:shd w:val="clear" w:color="030000" w:fill="FFFFFF"/>
        </w:rPr>
        <w:t>年，我局严格落实信息公开有关规定，不断完善体制机制，规范公开内容，扩大公开范围，强化公开监督，政府信息公开工作取得新进展。</w:t>
      </w:r>
      <w:r>
        <w:rPr>
          <w:rFonts w:hint="eastAsia" w:ascii="仿宋_GB2312" w:eastAsia="仿宋_GB2312" w:cs="仿宋_GB2312"/>
          <w:sz w:val="31"/>
          <w:szCs w:val="31"/>
          <w:shd w:val="clear" w:color="030000" w:fill="FFFFFF"/>
        </w:rPr>
        <w:br/>
      </w:r>
      <w:r>
        <w:rPr>
          <w:rFonts w:hint="eastAsia" w:ascii="黑体" w:hAnsi="宋体" w:eastAsia="黑体" w:cs="黑体"/>
          <w:sz w:val="31"/>
          <w:szCs w:val="31"/>
          <w:shd w:val="clear" w:color="030000" w:fill="FFFFFF"/>
        </w:rPr>
        <w:t>  (一）政府信息公开组织领导和制度建设情况</w:t>
      </w:r>
      <w:r>
        <w:rPr>
          <w:rFonts w:hint="eastAsia" w:ascii="仿宋_GB2312" w:eastAsia="仿宋_GB2312" w:cs="仿宋_GB2312"/>
          <w:sz w:val="31"/>
          <w:szCs w:val="31"/>
          <w:shd w:val="clear" w:color="030000" w:fill="FFFFFF"/>
        </w:rPr>
        <w:br/>
      </w:r>
      <w:r>
        <w:rPr>
          <w:rFonts w:hint="eastAsia" w:ascii="仿宋_GB2312" w:eastAsia="仿宋_GB2312" w:cs="仿宋_GB2312"/>
          <w:sz w:val="31"/>
          <w:szCs w:val="31"/>
          <w:shd w:val="clear" w:color="030000" w:fill="FFFFFF"/>
        </w:rPr>
        <w:t>　　加强组织领导，充实完善政府信息公开工作领导小组，坚持局长任组长，班子成员任副组长，科室负责同志任成员，确保责任到位、工作到位、落实到位。修订完善政府信息公开工作制度，认真落实政府信息公开年度工作计划，及时更新有关信息。</w:t>
      </w:r>
      <w:r>
        <w:rPr>
          <w:rFonts w:hint="eastAsia" w:ascii="仿宋_GB2312" w:eastAsia="仿宋_GB2312" w:cs="仿宋_GB2312"/>
          <w:sz w:val="31"/>
          <w:szCs w:val="31"/>
          <w:shd w:val="clear" w:color="030000" w:fill="FFFFFF"/>
        </w:rPr>
        <w:br/>
      </w:r>
      <w:r>
        <w:rPr>
          <w:rFonts w:hint="eastAsia" w:ascii="黑体" w:hAnsi="宋体" w:eastAsia="黑体" w:cs="黑体"/>
          <w:sz w:val="31"/>
          <w:szCs w:val="31"/>
          <w:shd w:val="clear" w:color="030000" w:fill="FFFFFF"/>
        </w:rPr>
        <w:t>  （二）发布解读、回应社会关切以及互动交流情况</w:t>
      </w:r>
      <w:r>
        <w:rPr>
          <w:rFonts w:hint="eastAsia" w:ascii="仿宋_GB2312" w:eastAsia="仿宋_GB2312" w:cs="仿宋_GB2312"/>
          <w:sz w:val="31"/>
          <w:szCs w:val="31"/>
          <w:shd w:val="clear" w:color="030000" w:fill="FFFFFF"/>
        </w:rPr>
        <w:br/>
      </w:r>
      <w:r>
        <w:rPr>
          <w:rFonts w:hint="eastAsia" w:ascii="仿宋_GB2312" w:eastAsia="仿宋_GB2312" w:cs="仿宋_GB2312"/>
          <w:sz w:val="31"/>
          <w:szCs w:val="31"/>
          <w:shd w:val="clear" w:color="030000" w:fill="FFFFFF"/>
        </w:rPr>
        <w:t>   </w:t>
      </w:r>
      <w:r>
        <w:rPr>
          <w:rFonts w:hint="eastAsia" w:ascii="仿宋_GB2312" w:eastAsia="仿宋_GB2312" w:cs="仿宋_GB2312"/>
          <w:sz w:val="31"/>
          <w:szCs w:val="31"/>
          <w:shd w:val="clear" w:color="030000" w:fill="FFFFFF"/>
          <w:lang w:val="en-US" w:eastAsia="zh-CN"/>
        </w:rPr>
        <w:t xml:space="preserve">  </w:t>
      </w:r>
      <w:r>
        <w:rPr>
          <w:rFonts w:hint="eastAsia" w:ascii="仿宋_GB2312" w:eastAsia="仿宋_GB2312" w:cs="仿宋_GB2312"/>
          <w:sz w:val="31"/>
          <w:szCs w:val="31"/>
          <w:shd w:val="clear" w:color="030000" w:fill="FFFFFF"/>
        </w:rPr>
        <w:t> 围绕发展改革部门中心工作，针对公众关切，发布有关信息，特别是经济和社会发展重要动态等方面的信息，设立热线电话（</w:t>
      </w:r>
      <w:r>
        <w:rPr>
          <w:rFonts w:hint="eastAsia" w:ascii="仿宋_GB2312" w:eastAsia="仿宋_GB2312" w:cs="仿宋_GB2312"/>
          <w:sz w:val="31"/>
          <w:szCs w:val="31"/>
          <w:shd w:val="clear" w:color="030000" w:fill="FFFFFF"/>
          <w:lang w:val="en-US" w:eastAsia="zh-CN"/>
        </w:rPr>
        <w:t>0533-</w:t>
      </w:r>
      <w:r>
        <w:rPr>
          <w:rFonts w:hint="eastAsia" w:ascii="仿宋_GB2312" w:eastAsia="仿宋_GB2312" w:cs="仿宋_GB2312"/>
          <w:sz w:val="31"/>
          <w:szCs w:val="31"/>
          <w:shd w:val="clear" w:color="030000" w:fill="FFFFFF"/>
        </w:rPr>
        <w:t>2869859），以增进公众对发改工作的了解。</w:t>
      </w:r>
    </w:p>
    <w:p>
      <w:pPr>
        <w:pStyle w:val="2"/>
        <w:widowControl/>
        <w:ind w:left="0" w:firstLine="645"/>
      </w:pPr>
      <w:r>
        <w:rPr>
          <w:rFonts w:hint="eastAsia" w:ascii="黑体" w:hAnsi="宋体" w:eastAsia="黑体" w:cs="黑体"/>
          <w:sz w:val="31"/>
          <w:szCs w:val="31"/>
        </w:rPr>
        <w:t>（三）主动公开政府信息情况以及公开平台建设情况</w:t>
      </w:r>
    </w:p>
    <w:p>
      <w:pPr>
        <w:pStyle w:val="2"/>
        <w:widowControl/>
        <w:shd w:val="clear" w:color="050000" w:fill="FFFFFF"/>
        <w:ind w:left="0" w:firstLine="645"/>
        <w:jc w:val="both"/>
        <w:rPr>
          <w:rFonts w:hint="eastAsia" w:ascii="仿宋_GB2312" w:eastAsia="仿宋_GB2312" w:cs="仿宋_GB2312"/>
          <w:sz w:val="31"/>
          <w:szCs w:val="31"/>
          <w:shd w:val="clear" w:color="030000" w:fill="FFFFFF"/>
        </w:rPr>
      </w:pPr>
      <w:r>
        <w:rPr>
          <w:rFonts w:hint="eastAsia" w:ascii="仿宋_GB2312" w:eastAsia="仿宋_GB2312" w:cs="仿宋_GB2312"/>
          <w:sz w:val="31"/>
          <w:szCs w:val="31"/>
          <w:shd w:val="clear" w:color="030000" w:fill="FFFFFF"/>
        </w:rPr>
        <w:t>依据《条例》和区政府信息公开有关文件要求，我局编制了《张店区发改局政府信息公开指南》《张店区发改局政府信息公开目录》，明确政府信息公开的工作内容、形式和公开、受理、回复的反馈机制。强化了政府信息公开平台建设，加大了主动公开政府信息工作力度。</w:t>
      </w:r>
      <w:r>
        <w:rPr>
          <w:rFonts w:hint="eastAsia" w:ascii="仿宋_GB2312" w:hAnsi="宋体" w:eastAsia="仿宋_GB2312" w:cs="仿宋_GB2312"/>
          <w:i w:val="0"/>
          <w:caps w:val="0"/>
          <w:color w:val="000000"/>
          <w:spacing w:val="0"/>
          <w:sz w:val="32"/>
          <w:szCs w:val="32"/>
          <w:shd w:val="clear" w:color="070000" w:fill="FFFFFF"/>
        </w:rPr>
        <w:t>2020年，</w:t>
      </w:r>
      <w:r>
        <w:rPr>
          <w:rFonts w:hint="eastAsia" w:ascii="仿宋_GB2312" w:eastAsia="仿宋_GB2312" w:cs="仿宋_GB2312"/>
          <w:sz w:val="31"/>
          <w:szCs w:val="31"/>
          <w:shd w:val="clear" w:color="030000" w:fill="FFFFFF"/>
        </w:rPr>
        <w:t>张店区发改</w:t>
      </w:r>
      <w:r>
        <w:rPr>
          <w:rFonts w:hint="eastAsia" w:ascii="仿宋_GB2312" w:hAnsi="宋体" w:eastAsia="仿宋_GB2312" w:cs="仿宋_GB2312"/>
          <w:i w:val="0"/>
          <w:caps w:val="0"/>
          <w:color w:val="000000"/>
          <w:spacing w:val="0"/>
          <w:sz w:val="32"/>
          <w:szCs w:val="32"/>
          <w:shd w:val="clear" w:color="070000" w:fill="FFFFFF"/>
        </w:rPr>
        <w:t>局共收到政府信息公开申请</w:t>
      </w:r>
      <w:r>
        <w:rPr>
          <w:rFonts w:hint="eastAsia" w:ascii="仿宋_GB2312" w:hAnsi="宋体" w:eastAsia="仿宋_GB2312" w:cs="仿宋_GB2312"/>
          <w:i w:val="0"/>
          <w:caps w:val="0"/>
          <w:color w:val="000000"/>
          <w:spacing w:val="0"/>
          <w:sz w:val="32"/>
          <w:szCs w:val="32"/>
          <w:shd w:val="clear" w:color="070000" w:fill="FFFFFF"/>
          <w:lang w:val="en-US" w:eastAsia="zh-CN"/>
        </w:rPr>
        <w:t>2</w:t>
      </w:r>
      <w:r>
        <w:rPr>
          <w:rFonts w:hint="eastAsia" w:ascii="仿宋_GB2312" w:hAnsi="宋体" w:eastAsia="仿宋_GB2312" w:cs="仿宋_GB2312"/>
          <w:i w:val="0"/>
          <w:caps w:val="0"/>
          <w:color w:val="000000"/>
          <w:spacing w:val="0"/>
          <w:sz w:val="32"/>
          <w:szCs w:val="32"/>
          <w:shd w:val="clear" w:color="070000" w:fill="FFFFFF"/>
        </w:rPr>
        <w:t>件，全部按时办结。</w:t>
      </w:r>
      <w:r>
        <w:rPr>
          <w:rFonts w:ascii="仿宋_GB2312" w:hAnsi="宋体" w:eastAsia="仿宋_GB2312" w:cs="仿宋_GB2312"/>
          <w:i w:val="0"/>
          <w:caps w:val="0"/>
          <w:color w:val="000000"/>
          <w:spacing w:val="0"/>
          <w:sz w:val="32"/>
          <w:szCs w:val="32"/>
          <w:shd w:val="clear" w:color="070000" w:fill="FFFFFF"/>
        </w:rPr>
        <w:t>截至目前</w:t>
      </w:r>
      <w:r>
        <w:rPr>
          <w:rFonts w:hint="eastAsia" w:ascii="仿宋_GB2312" w:hAnsi="宋体" w:eastAsia="仿宋_GB2312" w:cs="仿宋_GB2312"/>
          <w:i w:val="0"/>
          <w:caps w:val="0"/>
          <w:color w:val="000000"/>
          <w:spacing w:val="0"/>
          <w:sz w:val="32"/>
          <w:szCs w:val="32"/>
          <w:shd w:val="clear" w:color="070000" w:fill="FFFFFF"/>
        </w:rPr>
        <w:t>,在张店区政府门户网站主动公开本单位政策文件</w:t>
      </w:r>
      <w:r>
        <w:rPr>
          <w:rFonts w:hint="eastAsia" w:ascii="仿宋_GB2312" w:hAnsi="宋体" w:eastAsia="仿宋_GB2312" w:cs="仿宋_GB2312"/>
          <w:i w:val="0"/>
          <w:caps w:val="0"/>
          <w:color w:val="000000"/>
          <w:spacing w:val="0"/>
          <w:sz w:val="32"/>
          <w:szCs w:val="32"/>
          <w:shd w:val="clear" w:color="070000" w:fill="FFFFFF"/>
          <w:lang w:val="en-US" w:eastAsia="zh-CN"/>
        </w:rPr>
        <w:t>6</w:t>
      </w:r>
      <w:r>
        <w:rPr>
          <w:rFonts w:hint="eastAsia" w:ascii="仿宋_GB2312" w:hAnsi="宋体" w:eastAsia="仿宋_GB2312" w:cs="仿宋_GB2312"/>
          <w:i w:val="0"/>
          <w:caps w:val="0"/>
          <w:color w:val="000000"/>
          <w:spacing w:val="0"/>
          <w:sz w:val="32"/>
          <w:szCs w:val="32"/>
          <w:shd w:val="clear" w:color="070000" w:fill="FFFFFF"/>
        </w:rPr>
        <w:t>件、配发解读材料</w:t>
      </w:r>
      <w:r>
        <w:rPr>
          <w:rFonts w:hint="eastAsia" w:ascii="仿宋_GB2312" w:hAnsi="宋体" w:eastAsia="仿宋_GB2312" w:cs="仿宋_GB2312"/>
          <w:i w:val="0"/>
          <w:caps w:val="0"/>
          <w:color w:val="000000"/>
          <w:spacing w:val="0"/>
          <w:sz w:val="32"/>
          <w:szCs w:val="32"/>
          <w:shd w:val="clear" w:color="070000" w:fill="FFFFFF"/>
          <w:lang w:val="en-US" w:eastAsia="zh-CN"/>
        </w:rPr>
        <w:t>6</w:t>
      </w:r>
      <w:r>
        <w:rPr>
          <w:rFonts w:hint="eastAsia" w:ascii="仿宋_GB2312" w:hAnsi="宋体" w:eastAsia="仿宋_GB2312" w:cs="仿宋_GB2312"/>
          <w:i w:val="0"/>
          <w:caps w:val="0"/>
          <w:color w:val="000000"/>
          <w:spacing w:val="0"/>
          <w:sz w:val="32"/>
          <w:szCs w:val="32"/>
          <w:shd w:val="clear" w:color="070000" w:fill="FFFFFF"/>
        </w:rPr>
        <w:t>件。</w:t>
      </w:r>
    </w:p>
    <w:p>
      <w:pPr>
        <w:pStyle w:val="2"/>
        <w:widowControl/>
        <w:ind w:left="0" w:firstLine="645"/>
      </w:pPr>
      <w:r>
        <w:rPr>
          <w:rFonts w:hint="eastAsia" w:ascii="黑体" w:hAnsi="宋体" w:eastAsia="黑体" w:cs="黑体"/>
          <w:sz w:val="31"/>
          <w:szCs w:val="31"/>
        </w:rPr>
        <w:t>（</w:t>
      </w:r>
      <w:r>
        <w:rPr>
          <w:rFonts w:hint="eastAsia" w:ascii="黑体" w:hAnsi="宋体" w:eastAsia="黑体" w:cs="黑体"/>
          <w:sz w:val="31"/>
          <w:szCs w:val="31"/>
          <w:lang w:val="en-US" w:eastAsia="zh-CN"/>
        </w:rPr>
        <w:t>四</w:t>
      </w:r>
      <w:r>
        <w:rPr>
          <w:rFonts w:hint="eastAsia" w:ascii="黑体" w:hAnsi="宋体" w:eastAsia="黑体" w:cs="黑体"/>
          <w:sz w:val="31"/>
          <w:szCs w:val="31"/>
        </w:rPr>
        <w:t>）将人大建议和政协议提案办理结果及时公开</w:t>
      </w:r>
    </w:p>
    <w:p>
      <w:pPr>
        <w:pStyle w:val="2"/>
        <w:widowControl/>
        <w:shd w:val="clear" w:color="050000" w:fill="FFFFFF"/>
        <w:ind w:left="0" w:firstLine="645"/>
        <w:jc w:val="both"/>
        <w:rPr>
          <w:rFonts w:hint="eastAsia" w:ascii="仿宋_GB2312" w:eastAsia="仿宋_GB2312" w:cs="仿宋_GB2312"/>
          <w:sz w:val="31"/>
          <w:szCs w:val="31"/>
          <w:shd w:val="clear" w:color="030000" w:fill="FFFFFF"/>
        </w:rPr>
      </w:pPr>
      <w:r>
        <w:rPr>
          <w:rFonts w:hint="eastAsia" w:ascii="仿宋_GB2312" w:eastAsia="仿宋_GB2312" w:cs="仿宋_GB2312"/>
          <w:sz w:val="31"/>
          <w:szCs w:val="31"/>
          <w:shd w:val="clear" w:color="030000" w:fill="FFFFFF"/>
          <w:lang w:val="en-US" w:eastAsia="zh-CN"/>
        </w:rPr>
        <w:t>202</w:t>
      </w:r>
      <w:r>
        <w:rPr>
          <w:rFonts w:hint="eastAsia" w:ascii="仿宋_GB2312" w:eastAsia="仿宋_GB2312" w:cs="仿宋_GB2312"/>
          <w:sz w:val="31"/>
          <w:szCs w:val="31"/>
          <w:shd w:val="clear" w:color="030000" w:fill="FFFFFF"/>
        </w:rPr>
        <w:t>0年，</w:t>
      </w:r>
      <w:bookmarkStart w:id="0" w:name="_GoBack"/>
      <w:bookmarkEnd w:id="0"/>
      <w:r>
        <w:rPr>
          <w:rFonts w:hint="eastAsia" w:ascii="仿宋_GB2312" w:eastAsia="仿宋_GB2312" w:cs="仿宋_GB2312"/>
          <w:sz w:val="31"/>
          <w:szCs w:val="31"/>
          <w:shd w:val="clear" w:color="030000" w:fill="FFFFFF"/>
          <w:lang w:eastAsia="zh-CN"/>
        </w:rPr>
        <w:t>张店区发改</w:t>
      </w:r>
      <w:r>
        <w:rPr>
          <w:rFonts w:hint="eastAsia" w:ascii="仿宋_GB2312" w:eastAsia="仿宋_GB2312" w:cs="仿宋_GB2312"/>
          <w:sz w:val="31"/>
          <w:szCs w:val="31"/>
          <w:shd w:val="clear" w:color="030000" w:fill="FFFFFF"/>
        </w:rPr>
        <w:t>局共收到区人大代表建议1件、政协委员提案6件，这些建议和提案涉及产业升级转型、优化营商环境、建设项目等方面，充分体现了各位人大代表、政协委员对张店发展改革事业的关注和关心，反映了广大群众的美好愿望和迫切意愿。我局高度重视人大代表、政协委员建议办复工作，将其列为推动张店发展改革事业更好更快发展的重要工作，严格按照区委区政府的要求，思想上高度重视，态度上积极主动，行动上切实有效，程序上合理规范，实现了人大代表、政协委员建议</w:t>
      </w:r>
      <w:r>
        <w:rPr>
          <w:rFonts w:hint="default" w:ascii="仿宋_GB2312" w:eastAsia="仿宋_GB2312" w:cs="仿宋_GB2312"/>
          <w:sz w:val="31"/>
          <w:szCs w:val="31"/>
          <w:shd w:val="clear" w:color="030000" w:fill="FFFFFF"/>
        </w:rPr>
        <w:t>“</w:t>
      </w:r>
      <w:r>
        <w:rPr>
          <w:rFonts w:hint="eastAsia" w:ascii="仿宋_GB2312" w:eastAsia="仿宋_GB2312" w:cs="仿宋_GB2312"/>
          <w:sz w:val="31"/>
          <w:szCs w:val="31"/>
          <w:shd w:val="clear" w:color="030000" w:fill="FFFFFF"/>
        </w:rPr>
        <w:t>件件有答复，事事有回音，项项有落实</w:t>
      </w:r>
      <w:r>
        <w:rPr>
          <w:rFonts w:hint="default" w:ascii="仿宋_GB2312" w:eastAsia="仿宋_GB2312" w:cs="仿宋_GB2312"/>
          <w:sz w:val="31"/>
          <w:szCs w:val="31"/>
          <w:shd w:val="clear" w:color="030000" w:fill="FFFFFF"/>
        </w:rPr>
        <w:t>”</w:t>
      </w:r>
      <w:r>
        <w:rPr>
          <w:rFonts w:hint="eastAsia" w:ascii="仿宋_GB2312" w:eastAsia="仿宋_GB2312" w:cs="仿宋_GB2312"/>
          <w:sz w:val="31"/>
          <w:szCs w:val="31"/>
          <w:shd w:val="clear" w:color="030000" w:fill="FFFFFF"/>
        </w:rPr>
        <w:t>，办复率达到了</w:t>
      </w:r>
      <w:r>
        <w:rPr>
          <w:rFonts w:hint="default" w:ascii="仿宋_GB2312" w:eastAsia="仿宋_GB2312" w:cs="仿宋_GB2312"/>
          <w:sz w:val="31"/>
          <w:szCs w:val="31"/>
          <w:shd w:val="clear" w:color="030000" w:fill="FFFFFF"/>
        </w:rPr>
        <w:t>100%</w:t>
      </w:r>
      <w:r>
        <w:rPr>
          <w:rFonts w:hint="eastAsia" w:ascii="仿宋_GB2312" w:eastAsia="仿宋_GB2312" w:cs="仿宋_GB2312"/>
          <w:sz w:val="31"/>
          <w:szCs w:val="31"/>
          <w:shd w:val="clear" w:color="030000" w:fill="FFFFFF"/>
        </w:rPr>
        <w:t>。</w:t>
      </w:r>
    </w:p>
    <w:p>
      <w:pPr>
        <w:pStyle w:val="2"/>
        <w:widowControl/>
        <w:ind w:left="0" w:firstLine="645"/>
        <w:rPr>
          <w:rFonts w:hint="default" w:ascii="黑体" w:hAnsi="宋体" w:eastAsia="黑体" w:cs="黑体"/>
          <w:sz w:val="31"/>
          <w:szCs w:val="31"/>
        </w:rPr>
      </w:pPr>
      <w:r>
        <w:rPr>
          <w:rFonts w:hint="eastAsia" w:ascii="黑体" w:hAnsi="宋体" w:eastAsia="黑体" w:cs="黑体"/>
          <w:sz w:val="31"/>
          <w:szCs w:val="31"/>
        </w:rPr>
        <w:t>（</w:t>
      </w:r>
      <w:r>
        <w:rPr>
          <w:rFonts w:hint="eastAsia" w:ascii="黑体" w:hAnsi="宋体" w:eastAsia="黑体" w:cs="黑体"/>
          <w:sz w:val="31"/>
          <w:szCs w:val="31"/>
          <w:lang w:val="en-US" w:eastAsia="zh-CN"/>
        </w:rPr>
        <w:t>五</w:t>
      </w:r>
      <w:r>
        <w:rPr>
          <w:rFonts w:hint="eastAsia" w:ascii="黑体" w:hAnsi="宋体" w:eastAsia="黑体" w:cs="黑体"/>
          <w:sz w:val="31"/>
          <w:szCs w:val="31"/>
        </w:rPr>
        <w:t>）因政府信息公开申请提起行政复议、行政诉讼的情况</w:t>
      </w:r>
    </w:p>
    <w:p>
      <w:pPr>
        <w:pStyle w:val="2"/>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ind w:left="0" w:right="0" w:firstLine="645"/>
        <w:rPr>
          <w:rFonts w:hint="default" w:ascii="Times New Roman" w:hAnsi="Times New Roman" w:cs="Times New Roman"/>
          <w:i w:val="0"/>
          <w:caps w:val="0"/>
          <w:color w:val="000000"/>
          <w:spacing w:val="0"/>
          <w:sz w:val="27"/>
          <w:szCs w:val="27"/>
        </w:rPr>
      </w:pPr>
      <w:r>
        <w:rPr>
          <w:rFonts w:hint="eastAsia" w:ascii="仿宋" w:hAnsi="仿宋" w:eastAsia="仿宋" w:cs="仿宋"/>
          <w:i w:val="0"/>
          <w:caps w:val="0"/>
          <w:color w:val="000000"/>
          <w:spacing w:val="0"/>
          <w:sz w:val="32"/>
          <w:szCs w:val="32"/>
          <w:shd w:val="clear" w:color="070000" w:fill="FFFFFF"/>
        </w:rPr>
        <w:t>2020年，未发生因违反政府信息公开工作规定而出现的行政复议和行政诉讼情况。</w:t>
      </w:r>
    </w:p>
    <w:p>
      <w:pPr>
        <w:pStyle w:val="2"/>
        <w:widowControl/>
        <w:ind w:left="0" w:firstLine="645"/>
        <w:rPr>
          <w:rFonts w:hint="default" w:ascii="黑体" w:hAnsi="宋体" w:eastAsia="黑体" w:cs="黑体"/>
          <w:sz w:val="31"/>
          <w:szCs w:val="31"/>
        </w:rPr>
      </w:pPr>
      <w:r>
        <w:rPr>
          <w:rFonts w:hint="eastAsia" w:ascii="黑体" w:hAnsi="宋体" w:eastAsia="黑体" w:cs="黑体"/>
          <w:sz w:val="31"/>
          <w:szCs w:val="31"/>
        </w:rPr>
        <w:t>（</w:t>
      </w:r>
      <w:r>
        <w:rPr>
          <w:rFonts w:hint="eastAsia" w:ascii="黑体" w:hAnsi="宋体" w:eastAsia="黑体" w:cs="黑体"/>
          <w:sz w:val="31"/>
          <w:szCs w:val="31"/>
          <w:lang w:val="en-US" w:eastAsia="zh-CN"/>
        </w:rPr>
        <w:t>六</w:t>
      </w:r>
      <w:r>
        <w:rPr>
          <w:rFonts w:hint="eastAsia" w:ascii="黑体" w:hAnsi="宋体" w:eastAsia="黑体" w:cs="黑体"/>
          <w:sz w:val="31"/>
          <w:szCs w:val="31"/>
        </w:rPr>
        <w:t>）工作考核、社会评议和责任追究结果情况</w:t>
      </w:r>
    </w:p>
    <w:p>
      <w:pPr>
        <w:pStyle w:val="2"/>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ind w:left="0" w:right="0" w:firstLine="640"/>
        <w:jc w:val="both"/>
        <w:rPr>
          <w:rFonts w:hint="eastAsia" w:ascii="仿宋_GB2312" w:eastAsia="仿宋_GB2312" w:cs="仿宋_GB2312"/>
          <w:sz w:val="31"/>
          <w:szCs w:val="31"/>
          <w:shd w:val="clear" w:color="030000" w:fill="FFFFFF"/>
        </w:rPr>
      </w:pPr>
      <w:r>
        <w:rPr>
          <w:rFonts w:hint="eastAsia" w:ascii="仿宋" w:hAnsi="仿宋" w:eastAsia="仿宋" w:cs="仿宋"/>
          <w:i w:val="0"/>
          <w:caps w:val="0"/>
          <w:color w:val="000000"/>
          <w:spacing w:val="0"/>
          <w:sz w:val="32"/>
          <w:szCs w:val="32"/>
          <w:shd w:val="clear" w:color="070000" w:fill="FFFFFF"/>
        </w:rPr>
        <w:t>将政务公开工作列入单位年度工作计划和考核，2020年召开了一次政务公开工作专题部署会和一次政务公开工作培训会。</w:t>
      </w:r>
    </w:p>
    <w:p>
      <w:pPr>
        <w:pStyle w:val="2"/>
        <w:widowControl/>
        <w:shd w:val="clear" w:color="050000" w:fill="FFFFFF"/>
        <w:spacing w:after="240" w:afterAutospacing="0"/>
        <w:ind w:left="0" w:firstLine="645"/>
        <w:jc w:val="both"/>
      </w:pPr>
      <w:r>
        <w:rPr>
          <w:rFonts w:hint="eastAsia" w:ascii="黑体" w:hAnsi="宋体" w:eastAsia="黑体" w:cs="黑体"/>
          <w:color w:val="333333"/>
          <w:sz w:val="31"/>
          <w:szCs w:val="31"/>
          <w:shd w:val="clear" w:color="040000" w:fill="FFFFFF"/>
        </w:rPr>
        <w:t>二、主动公开政府信息情况</w:t>
      </w:r>
    </w:p>
    <w:p>
      <w:pPr>
        <w:pStyle w:val="2"/>
        <w:widowControl/>
        <w:shd w:val="clear" w:color="050000" w:fill="FFFFFF"/>
        <w:ind w:left="0" w:firstLine="420"/>
        <w:jc w:val="both"/>
        <w:rPr>
          <w:rFonts w:hint="eastAsia" w:ascii="宋体" w:hAnsi="宋体" w:eastAsia="宋体" w:cs="宋体"/>
          <w:color w:val="333333"/>
          <w:sz w:val="24"/>
          <w:szCs w:val="24"/>
          <w:shd w:val="clear" w:color="040000" w:fill="FFFFFF"/>
        </w:rPr>
      </w:pPr>
      <w:r>
        <w:rPr>
          <w:rFonts w:hint="eastAsia" w:ascii="宋体" w:hAnsi="宋体" w:eastAsia="宋体" w:cs="宋体"/>
          <w:color w:val="333333"/>
          <w:sz w:val="24"/>
          <w:szCs w:val="24"/>
          <w:shd w:val="clear" w:color="040000" w:fill="FFFFFF"/>
        </w:rPr>
        <w:t> </w:t>
      </w:r>
    </w:p>
    <w:tbl>
      <w:tblPr>
        <w:tblStyle w:val="6"/>
        <w:tblW w:w="8685"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3064"/>
        <w:gridCol w:w="17"/>
        <w:gridCol w:w="2090"/>
        <w:gridCol w:w="1501"/>
        <w:gridCol w:w="20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trPr>
        <w:tc>
          <w:tcPr>
            <w:tcW w:w="8685"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4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信息内容</w:t>
            </w:r>
          </w:p>
        </w:tc>
        <w:tc>
          <w:tcPr>
            <w:tcW w:w="2107"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本年新制作数量</w:t>
            </w:r>
          </w:p>
        </w:tc>
        <w:tc>
          <w:tcPr>
            <w:tcW w:w="150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本年新</w:t>
            </w:r>
            <w:r>
              <w:rPr>
                <w:rFonts w:hint="eastAsia" w:ascii="宋体" w:hAnsi="宋体" w:eastAsia="宋体" w:cs="宋体"/>
                <w:color w:val="000000"/>
                <w:sz w:val="24"/>
                <w:szCs w:val="24"/>
              </w:rPr>
              <w:br/>
            </w:r>
            <w:r>
              <w:rPr>
                <w:rFonts w:hint="eastAsia" w:ascii="宋体" w:hAnsi="宋体" w:eastAsia="宋体" w:cs="宋体"/>
                <w:color w:val="000000"/>
                <w:sz w:val="24"/>
                <w:szCs w:val="24"/>
              </w:rPr>
              <w:t>公开数量</w:t>
            </w:r>
          </w:p>
        </w:tc>
        <w:tc>
          <w:tcPr>
            <w:tcW w:w="20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对外公开</w:t>
            </w:r>
          </w:p>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left"/>
            </w:pPr>
            <w:r>
              <w:rPr>
                <w:rFonts w:hint="eastAsia" w:ascii="宋体" w:hAnsi="宋体" w:eastAsia="宋体" w:cs="宋体"/>
                <w:color w:val="000000"/>
                <w:sz w:val="24"/>
                <w:szCs w:val="24"/>
              </w:rPr>
              <w:t>规章</w:t>
            </w:r>
          </w:p>
        </w:tc>
        <w:tc>
          <w:tcPr>
            <w:tcW w:w="210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c>
          <w:tcPr>
            <w:tcW w:w="15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c>
          <w:tcPr>
            <w:tcW w:w="20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left"/>
            </w:pPr>
            <w:r>
              <w:rPr>
                <w:rFonts w:hint="eastAsia" w:ascii="宋体" w:hAnsi="宋体" w:eastAsia="宋体" w:cs="宋体"/>
                <w:color w:val="000000"/>
                <w:sz w:val="24"/>
                <w:szCs w:val="24"/>
              </w:rPr>
              <w:t>规范性文件</w:t>
            </w:r>
          </w:p>
        </w:tc>
        <w:tc>
          <w:tcPr>
            <w:tcW w:w="210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c>
          <w:tcPr>
            <w:tcW w:w="15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c>
          <w:tcPr>
            <w:tcW w:w="20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8685" w:type="dxa"/>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信息内容</w:t>
            </w:r>
          </w:p>
        </w:tc>
        <w:tc>
          <w:tcPr>
            <w:tcW w:w="2107"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上一年项目数量</w:t>
            </w:r>
          </w:p>
        </w:tc>
        <w:tc>
          <w:tcPr>
            <w:tcW w:w="150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本年增/减</w:t>
            </w:r>
          </w:p>
        </w:tc>
        <w:tc>
          <w:tcPr>
            <w:tcW w:w="20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left"/>
            </w:pPr>
            <w:r>
              <w:rPr>
                <w:rFonts w:hint="eastAsia" w:ascii="宋体" w:hAnsi="宋体" w:eastAsia="宋体" w:cs="宋体"/>
                <w:color w:val="000000"/>
                <w:sz w:val="24"/>
                <w:szCs w:val="24"/>
              </w:rPr>
              <w:t>行政许可</w:t>
            </w:r>
          </w:p>
        </w:tc>
        <w:tc>
          <w:tcPr>
            <w:tcW w:w="210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　0</w:t>
            </w:r>
          </w:p>
        </w:tc>
        <w:tc>
          <w:tcPr>
            <w:tcW w:w="15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c>
          <w:tcPr>
            <w:tcW w:w="20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left"/>
            </w:pPr>
            <w:r>
              <w:rPr>
                <w:rFonts w:hint="eastAsia" w:ascii="宋体" w:hAnsi="宋体" w:eastAsia="宋体" w:cs="宋体"/>
                <w:color w:val="000000"/>
                <w:sz w:val="24"/>
                <w:szCs w:val="24"/>
              </w:rPr>
              <w:t>其他对外管理服务事项</w:t>
            </w:r>
          </w:p>
        </w:tc>
        <w:tc>
          <w:tcPr>
            <w:tcW w:w="210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　0</w:t>
            </w:r>
          </w:p>
        </w:tc>
        <w:tc>
          <w:tcPr>
            <w:tcW w:w="15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　</w:t>
            </w:r>
          </w:p>
        </w:tc>
        <w:tc>
          <w:tcPr>
            <w:tcW w:w="20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8685" w:type="dxa"/>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信息内容</w:t>
            </w:r>
          </w:p>
        </w:tc>
        <w:tc>
          <w:tcPr>
            <w:tcW w:w="2107"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上一年项目数量</w:t>
            </w:r>
          </w:p>
        </w:tc>
        <w:tc>
          <w:tcPr>
            <w:tcW w:w="150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本年增/减</w:t>
            </w:r>
          </w:p>
        </w:tc>
        <w:tc>
          <w:tcPr>
            <w:tcW w:w="20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left"/>
            </w:pPr>
            <w:r>
              <w:rPr>
                <w:rFonts w:hint="eastAsia" w:ascii="宋体" w:hAnsi="宋体" w:eastAsia="宋体" w:cs="宋体"/>
                <w:color w:val="000000"/>
                <w:sz w:val="24"/>
                <w:szCs w:val="24"/>
              </w:rPr>
              <w:t>行政处罚</w:t>
            </w:r>
          </w:p>
        </w:tc>
        <w:tc>
          <w:tcPr>
            <w:tcW w:w="210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c>
          <w:tcPr>
            <w:tcW w:w="15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c>
          <w:tcPr>
            <w:tcW w:w="20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left"/>
            </w:pPr>
            <w:r>
              <w:rPr>
                <w:rFonts w:hint="eastAsia" w:ascii="宋体" w:hAnsi="宋体" w:eastAsia="宋体" w:cs="宋体"/>
                <w:color w:val="000000"/>
                <w:sz w:val="24"/>
                <w:szCs w:val="24"/>
              </w:rPr>
              <w:t>行政强制</w:t>
            </w:r>
          </w:p>
        </w:tc>
        <w:tc>
          <w:tcPr>
            <w:tcW w:w="210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　</w:t>
            </w:r>
          </w:p>
        </w:tc>
        <w:tc>
          <w:tcPr>
            <w:tcW w:w="150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　</w:t>
            </w:r>
          </w:p>
        </w:tc>
        <w:tc>
          <w:tcPr>
            <w:tcW w:w="20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8685" w:type="dxa"/>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信息内容</w:t>
            </w:r>
          </w:p>
        </w:tc>
        <w:tc>
          <w:tcPr>
            <w:tcW w:w="210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left"/>
            </w:pPr>
            <w:r>
              <w:rPr>
                <w:rFonts w:hint="eastAsia" w:ascii="宋体" w:hAnsi="宋体" w:eastAsia="宋体" w:cs="宋体"/>
                <w:color w:val="000000"/>
                <w:sz w:val="24"/>
                <w:szCs w:val="24"/>
              </w:rPr>
              <w:t>上一年项目数量</w:t>
            </w:r>
          </w:p>
        </w:tc>
        <w:tc>
          <w:tcPr>
            <w:tcW w:w="3514" w:type="dxa"/>
            <w:gridSpan w:val="2"/>
            <w:tcBorders>
              <w:top w:val="single" w:color="auto" w:sz="8" w:space="0"/>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left"/>
            </w:pPr>
            <w:r>
              <w:rPr>
                <w:rFonts w:hint="eastAsia" w:ascii="宋体" w:hAnsi="宋体" w:eastAsia="宋体" w:cs="宋体"/>
                <w:color w:val="000000"/>
                <w:sz w:val="24"/>
                <w:szCs w:val="24"/>
              </w:rPr>
              <w:t>行政事业性收费</w:t>
            </w:r>
          </w:p>
        </w:tc>
        <w:tc>
          <w:tcPr>
            <w:tcW w:w="210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　0</w:t>
            </w:r>
          </w:p>
        </w:tc>
        <w:tc>
          <w:tcPr>
            <w:tcW w:w="3514" w:type="dxa"/>
            <w:gridSpan w:val="2"/>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8685" w:type="dxa"/>
            <w:gridSpan w:val="5"/>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8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信息内容</w:t>
            </w:r>
          </w:p>
        </w:tc>
        <w:tc>
          <w:tcPr>
            <w:tcW w:w="20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采购项目数量</w:t>
            </w:r>
          </w:p>
        </w:tc>
        <w:tc>
          <w:tcPr>
            <w:tcW w:w="3514" w:type="dxa"/>
            <w:gridSpan w:val="2"/>
            <w:tcBorders>
              <w:top w:val="single" w:color="auto" w:sz="8" w:space="0"/>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08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left"/>
            </w:pPr>
            <w:r>
              <w:rPr>
                <w:rFonts w:hint="eastAsia" w:ascii="宋体" w:hAnsi="宋体" w:eastAsia="宋体" w:cs="宋体"/>
                <w:color w:val="000000"/>
                <w:sz w:val="24"/>
                <w:szCs w:val="24"/>
              </w:rPr>
              <w:t>政府集中采购</w:t>
            </w:r>
          </w:p>
        </w:tc>
        <w:tc>
          <w:tcPr>
            <w:tcW w:w="20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　0</w:t>
            </w:r>
          </w:p>
        </w:tc>
        <w:tc>
          <w:tcPr>
            <w:tcW w:w="3514" w:type="dxa"/>
            <w:gridSpan w:val="2"/>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color w:val="000000"/>
                <w:sz w:val="24"/>
                <w:szCs w:val="24"/>
              </w:rPr>
              <w:t>0</w:t>
            </w:r>
          </w:p>
        </w:tc>
      </w:tr>
    </w:tbl>
    <w:p>
      <w:pPr>
        <w:pStyle w:val="2"/>
        <w:widowControl/>
        <w:shd w:val="clear" w:color="050000" w:fill="FFFFFF"/>
        <w:ind w:left="0" w:firstLine="420"/>
        <w:jc w:val="both"/>
      </w:pPr>
    </w:p>
    <w:p>
      <w:pPr>
        <w:pStyle w:val="2"/>
        <w:widowControl/>
        <w:shd w:val="clear" w:color="050000" w:fill="FFFFFF"/>
        <w:spacing w:after="240" w:afterAutospacing="0"/>
        <w:ind w:left="0" w:firstLine="615"/>
        <w:jc w:val="both"/>
      </w:pPr>
      <w:r>
        <w:rPr>
          <w:rStyle w:val="4"/>
          <w:rFonts w:hint="eastAsia" w:ascii="黑体" w:hAnsi="宋体" w:eastAsia="黑体" w:cs="黑体"/>
          <w:color w:val="333333"/>
          <w:sz w:val="31"/>
          <w:szCs w:val="31"/>
          <w:shd w:val="clear" w:color="050000" w:fill="FFFFFF"/>
        </w:rPr>
        <w:t>三、收到和处理政府信息公开申请情况</w:t>
      </w:r>
    </w:p>
    <w:tbl>
      <w:tblPr>
        <w:tblStyle w:val="6"/>
        <w:tblW w:w="9071"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16"/>
        <w:gridCol w:w="1404"/>
        <w:gridCol w:w="2787"/>
        <w:gridCol w:w="841"/>
        <w:gridCol w:w="564"/>
        <w:gridCol w:w="564"/>
        <w:gridCol w:w="564"/>
        <w:gridCol w:w="564"/>
        <w:gridCol w:w="537"/>
        <w:gridCol w:w="63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13" w:hRule="atLeast"/>
        </w:trPr>
        <w:tc>
          <w:tcPr>
            <w:tcW w:w="4807"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0"/>
                <w:szCs w:val="20"/>
              </w:rPr>
              <w:t>（本列数据的勾稽关系为：第一项加第二项之和，</w:t>
            </w:r>
          </w:p>
          <w:p>
            <w:pPr>
              <w:pStyle w:val="2"/>
              <w:widowControl/>
              <w:autoSpaceDE w:val="0"/>
              <w:snapToGrid w:val="0"/>
              <w:spacing w:line="560" w:lineRule="atLeast"/>
              <w:ind w:left="0" w:right="0"/>
              <w:jc w:val="center"/>
            </w:pPr>
            <w:r>
              <w:rPr>
                <w:rFonts w:hint="eastAsia" w:ascii="宋体" w:hAnsi="宋体" w:eastAsia="宋体" w:cs="宋体"/>
                <w:sz w:val="20"/>
                <w:szCs w:val="20"/>
              </w:rPr>
              <w:t>等于第三项加第四项之和）</w:t>
            </w:r>
          </w:p>
        </w:tc>
        <w:tc>
          <w:tcPr>
            <w:tcW w:w="426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25" w:hRule="atLeast"/>
        </w:trPr>
        <w:tc>
          <w:tcPr>
            <w:tcW w:w="4807" w:type="dxa"/>
            <w:gridSpan w:val="3"/>
            <w:vMerge w:val="continue"/>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84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0"/>
                <w:szCs w:val="20"/>
              </w:rPr>
              <w:t>自然人</w:t>
            </w:r>
          </w:p>
        </w:tc>
        <w:tc>
          <w:tcPr>
            <w:tcW w:w="2793"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0"/>
                <w:szCs w:val="20"/>
              </w:rPr>
              <w:t>法人或其他组织</w:t>
            </w:r>
          </w:p>
        </w:tc>
        <w:tc>
          <w:tcPr>
            <w:tcW w:w="630"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1127" w:hRule="atLeast"/>
        </w:trPr>
        <w:tc>
          <w:tcPr>
            <w:tcW w:w="4807" w:type="dxa"/>
            <w:gridSpan w:val="3"/>
            <w:vMerge w:val="continue"/>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841"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1" w:right="0"/>
              <w:jc w:val="center"/>
            </w:pPr>
            <w:r>
              <w:rPr>
                <w:rFonts w:hint="eastAsia" w:ascii="宋体" w:hAnsi="宋体" w:eastAsia="宋体" w:cs="宋体"/>
                <w:sz w:val="20"/>
                <w:szCs w:val="20"/>
              </w:rPr>
              <w:t>商业企业</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0"/>
                <w:szCs w:val="20"/>
              </w:rPr>
              <w:t>科研机构</w:t>
            </w:r>
          </w:p>
        </w:tc>
        <w:tc>
          <w:tcPr>
            <w:tcW w:w="56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0"/>
                <w:szCs w:val="20"/>
              </w:rPr>
              <w:t>社会公益组织</w:t>
            </w:r>
          </w:p>
        </w:tc>
        <w:tc>
          <w:tcPr>
            <w:tcW w:w="56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1" w:right="0"/>
              <w:jc w:val="center"/>
            </w:pPr>
            <w:r>
              <w:rPr>
                <w:rFonts w:hint="eastAsia" w:ascii="宋体" w:hAnsi="宋体" w:eastAsia="宋体" w:cs="宋体"/>
                <w:sz w:val="20"/>
                <w:szCs w:val="20"/>
              </w:rPr>
              <w:t>法律服务机构</w:t>
            </w:r>
          </w:p>
        </w:tc>
        <w:tc>
          <w:tcPr>
            <w:tcW w:w="53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0"/>
                <w:szCs w:val="20"/>
              </w:rPr>
              <w:t>其他</w:t>
            </w:r>
          </w:p>
        </w:tc>
        <w:tc>
          <w:tcPr>
            <w:tcW w:w="630" w:type="dxa"/>
            <w:vMerge w:val="continue"/>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c>
          <w:tcPr>
            <w:tcW w:w="480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宋体" w:hAnsi="宋体" w:eastAsia="宋体" w:cs="宋体"/>
                <w:sz w:val="20"/>
                <w:szCs w:val="20"/>
              </w:rPr>
              <w:t>一、本年新收政府信息公开申请数量</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2</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c>
          <w:tcPr>
            <w:tcW w:w="480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宋体" w:hAnsi="宋体" w:eastAsia="宋体" w:cs="宋体"/>
                <w:sz w:val="20"/>
                <w:szCs w:val="20"/>
              </w:rPr>
              <w:t>二、上年结转政府信息公开申请数量</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c>
          <w:tcPr>
            <w:tcW w:w="616"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宋体" w:hAnsi="宋体" w:eastAsia="宋体" w:cs="宋体"/>
                <w:sz w:val="20"/>
                <w:szCs w:val="20"/>
              </w:rPr>
              <w:t>三、本年度办理结果</w:t>
            </w:r>
          </w:p>
        </w:tc>
        <w:tc>
          <w:tcPr>
            <w:tcW w:w="419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ascii="楷体" w:hAnsi="楷体" w:eastAsia="楷体" w:cs="楷体"/>
                <w:sz w:val="20"/>
                <w:szCs w:val="20"/>
              </w:rPr>
              <w:t>（一）予以公开</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2</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419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（二）部分公开（区分处理的，只计这一情形，不计其他情形）</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（三）不予公开</w:t>
            </w: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1.属于国家秘密</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2.其他法律行政法规禁止公开</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3.危及“三安全一稳定”</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4.保护第三方合法权益</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5.属于三类内部事务信息</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6.属于四类过程性信息</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7.属于行政执法案卷</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8.属于行政查询事项</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（四）无法提供</w:t>
            </w: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1.本机关不掌握相关政府信息</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2.没有现成信息需要另行制作</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3.补正后申请内容仍不明确</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（五）不予处理</w:t>
            </w: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1.信访举报投诉类申请</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2.重复申请</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54"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3.要求提供公开出版物</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97"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4.无正当理由大量反复申请</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1404" w:type="dxa"/>
            <w:vMerge w:val="continue"/>
            <w:tcBorders>
              <w:top w:val="nil"/>
              <w:left w:val="nil"/>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278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5.要求行政机关确认或重新</w:t>
            </w:r>
          </w:p>
          <w:p>
            <w:pPr>
              <w:pStyle w:val="2"/>
              <w:widowControl/>
              <w:autoSpaceDE w:val="0"/>
              <w:snapToGrid w:val="0"/>
              <w:spacing w:line="560" w:lineRule="atLeast"/>
              <w:ind w:left="0" w:right="0" w:firstLine="200"/>
            </w:pPr>
            <w:r>
              <w:rPr>
                <w:rFonts w:hint="eastAsia" w:ascii="楷体" w:hAnsi="楷体" w:eastAsia="楷体" w:cs="楷体"/>
                <w:sz w:val="20"/>
                <w:szCs w:val="20"/>
              </w:rPr>
              <w:t>出具已获取信息</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97"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419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（六）其他处理</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97" w:hRule="atLeast"/>
        </w:trPr>
        <w:tc>
          <w:tcPr>
            <w:tcW w:w="616" w:type="dxa"/>
            <w:vMerge w:val="continue"/>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hint="eastAsia" w:ascii="宋体"/>
                <w:sz w:val="24"/>
                <w:szCs w:val="24"/>
              </w:rPr>
            </w:pPr>
          </w:p>
        </w:tc>
        <w:tc>
          <w:tcPr>
            <w:tcW w:w="419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楷体" w:hAnsi="楷体" w:eastAsia="楷体" w:cs="楷体"/>
                <w:sz w:val="20"/>
                <w:szCs w:val="20"/>
              </w:rPr>
              <w:t>（七）总计</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c>
          <w:tcPr>
            <w:tcW w:w="480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pPr>
            <w:r>
              <w:rPr>
                <w:rFonts w:hint="eastAsia" w:ascii="宋体" w:hAnsi="宋体" w:eastAsia="宋体" w:cs="宋体"/>
                <w:sz w:val="20"/>
                <w:szCs w:val="20"/>
              </w:rPr>
              <w:t>四、结转下年度继续办理</w:t>
            </w:r>
          </w:p>
        </w:tc>
        <w:tc>
          <w:tcPr>
            <w:tcW w:w="841"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64"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537"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pStyle w:val="2"/>
              <w:widowControl/>
              <w:autoSpaceDE w:val="0"/>
              <w:snapToGrid w:val="0"/>
              <w:spacing w:line="560" w:lineRule="atLeast"/>
              <w:ind w:left="0" w:right="0"/>
              <w:jc w:val="center"/>
            </w:pPr>
            <w:r>
              <w:rPr>
                <w:rFonts w:hint="eastAsia" w:ascii="宋体" w:hAnsi="宋体" w:eastAsia="宋体" w:cs="宋体"/>
                <w:sz w:val="21"/>
                <w:szCs w:val="21"/>
              </w:rPr>
              <w:t>0</w:t>
            </w:r>
          </w:p>
        </w:tc>
      </w:tr>
    </w:tbl>
    <w:p>
      <w:pPr>
        <w:pStyle w:val="2"/>
        <w:widowControl/>
        <w:shd w:val="clear" w:color="050000" w:fill="FFFFFF"/>
        <w:ind w:left="0" w:firstLine="420"/>
        <w:jc w:val="both"/>
      </w:pPr>
      <w:r>
        <w:rPr>
          <w:rFonts w:hint="eastAsia" w:ascii="宋体" w:hAnsi="宋体" w:eastAsia="宋体" w:cs="宋体"/>
          <w:color w:val="333333"/>
          <w:sz w:val="24"/>
          <w:szCs w:val="24"/>
          <w:shd w:val="clear" w:color="040000" w:fill="FFFFFF"/>
        </w:rPr>
        <w:t> </w:t>
      </w:r>
    </w:p>
    <w:p>
      <w:pPr>
        <w:pStyle w:val="2"/>
        <w:widowControl/>
        <w:shd w:val="clear" w:color="050000" w:fill="FFFFFF"/>
        <w:ind w:left="0" w:firstLine="420"/>
        <w:jc w:val="both"/>
      </w:pPr>
      <w:r>
        <w:rPr>
          <w:rFonts w:hint="eastAsia" w:ascii="黑体" w:hAnsi="宋体" w:eastAsia="黑体" w:cs="黑体"/>
          <w:color w:val="333333"/>
          <w:sz w:val="31"/>
          <w:szCs w:val="31"/>
          <w:shd w:val="clear" w:color="040000" w:fill="FFFFFF"/>
        </w:rPr>
        <w:t>四、政府信息公开行政复议、行政诉讼情况</w:t>
      </w:r>
    </w:p>
    <w:p>
      <w:pPr>
        <w:pStyle w:val="2"/>
        <w:widowControl/>
        <w:shd w:val="clear" w:color="050000" w:fill="FFFFFF"/>
        <w:ind w:left="0" w:firstLine="420"/>
        <w:jc w:val="both"/>
      </w:pPr>
      <w:r>
        <w:rPr>
          <w:rFonts w:hint="eastAsia" w:ascii="宋体" w:hAnsi="宋体" w:eastAsia="宋体" w:cs="宋体"/>
          <w:color w:val="333333"/>
          <w:sz w:val="24"/>
          <w:szCs w:val="24"/>
          <w:shd w:val="clear" w:color="040000" w:fill="FFFFFF"/>
        </w:rPr>
        <w:t> </w:t>
      </w:r>
    </w:p>
    <w:tbl>
      <w:tblPr>
        <w:tblStyle w:val="6"/>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结果</w:t>
            </w:r>
          </w:p>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维持</w:t>
            </w:r>
          </w:p>
        </w:tc>
        <w:tc>
          <w:tcPr>
            <w:tcW w:w="604" w:type="dxa"/>
            <w:vMerge w:val="restart"/>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尚未</w:t>
            </w:r>
          </w:p>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审结</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总</w:t>
            </w:r>
          </w:p>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计</w:t>
            </w:r>
          </w:p>
        </w:tc>
        <w:tc>
          <w:tcPr>
            <w:tcW w:w="2970"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wordWrap/>
              <w:adjustRightInd w:val="0"/>
              <w:snapToGrid w:val="0"/>
              <w:spacing w:line="560" w:lineRule="exact"/>
              <w:ind w:left="0" w:leftChars="0" w:right="0"/>
              <w:textAlignment w:val="auto"/>
              <w:rPr>
                <w:rFonts w:ascii="宋体"/>
                <w:sz w:val="24"/>
              </w:rPr>
            </w:pPr>
          </w:p>
        </w:tc>
        <w:tc>
          <w:tcPr>
            <w:tcW w:w="604" w:type="dxa"/>
            <w:vMerge w:val="continue"/>
            <w:tcBorders>
              <w:top w:val="nil"/>
              <w:left w:val="nil"/>
              <w:bottom w:val="single" w:color="auto" w:sz="8" w:space="0"/>
              <w:right w:val="single" w:color="auto" w:sz="8" w:space="0"/>
            </w:tcBorders>
            <w:tcMar>
              <w:left w:w="108" w:type="dxa"/>
              <w:right w:w="108" w:type="dxa"/>
            </w:tcMar>
            <w:vAlign w:val="center"/>
          </w:tcPr>
          <w:p>
            <w:pPr>
              <w:wordWrap/>
              <w:adjustRightInd w:val="0"/>
              <w:snapToGrid w:val="0"/>
              <w:spacing w:line="560" w:lineRule="exact"/>
              <w:ind w:left="0" w:leftChars="0" w:right="0"/>
              <w:textAlignment w:val="auto"/>
              <w:rPr>
                <w:rFonts w:ascii="宋体"/>
                <w:sz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ordWrap/>
              <w:adjustRightInd w:val="0"/>
              <w:snapToGrid w:val="0"/>
              <w:spacing w:line="560" w:lineRule="exact"/>
              <w:ind w:left="0" w:leftChars="0" w:right="0"/>
              <w:textAlignment w:val="auto"/>
              <w:rPr>
                <w:rFonts w:ascii="宋体"/>
                <w:sz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ordWrap/>
              <w:adjustRightInd w:val="0"/>
              <w:snapToGrid w:val="0"/>
              <w:spacing w:line="560" w:lineRule="exact"/>
              <w:ind w:left="0" w:leftChars="0" w:right="0"/>
              <w:textAlignment w:val="auto"/>
              <w:rPr>
                <w:rFonts w:ascii="宋体"/>
                <w:sz w:val="24"/>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ordWrap/>
              <w:adjustRightInd w:val="0"/>
              <w:snapToGrid w:val="0"/>
              <w:spacing w:line="560" w:lineRule="exact"/>
              <w:ind w:left="0" w:leftChars="0" w:right="0"/>
              <w:textAlignment w:val="auto"/>
              <w:rPr>
                <w:rFonts w:ascii="宋体"/>
                <w:sz w:val="24"/>
              </w:rPr>
            </w:pPr>
          </w:p>
        </w:tc>
        <w:tc>
          <w:tcPr>
            <w:tcW w:w="550"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其他</w:t>
            </w:r>
          </w:p>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结果</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尚未</w:t>
            </w:r>
          </w:p>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审结</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宋体" w:hAnsi="宋体" w:eastAsia="宋体" w:cs="宋体"/>
                <w:kern w:val="0"/>
                <w:sz w:val="20"/>
                <w:szCs w:val="20"/>
              </w:rPr>
            </w:pPr>
            <w:r>
              <w:rPr>
                <w:rFonts w:hint="eastAsia" w:ascii="宋体" w:hAnsi="宋体" w:eastAsia="宋体" w:cs="宋体"/>
                <w:kern w:val="0"/>
                <w:sz w:val="20"/>
                <w:szCs w:val="20"/>
              </w:rPr>
              <w:t>结果</w:t>
            </w:r>
          </w:p>
          <w:p>
            <w:pPr>
              <w:widowControl/>
              <w:wordWrap/>
              <w:adjustRightInd w:val="0"/>
              <w:snapToGrid w:val="0"/>
              <w:spacing w:line="560" w:lineRule="exact"/>
              <w:ind w:left="0" w:leftChars="0" w:right="0"/>
              <w:jc w:val="center"/>
              <w:textAlignment w:val="auto"/>
            </w:pPr>
            <w:r>
              <w:rPr>
                <w:rFonts w:hint="eastAsia" w:ascii="宋体" w:hAnsi="宋体" w:eastAsia="宋体" w:cs="宋体"/>
                <w:kern w:val="0"/>
                <w:sz w:val="20"/>
                <w:szCs w:val="20"/>
              </w:rPr>
              <w:t>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其他</w:t>
            </w:r>
          </w:p>
          <w:p>
            <w:pPr>
              <w:widowControl/>
              <w:wordWrap/>
              <w:adjustRightInd w:val="0"/>
              <w:snapToGrid w:val="0"/>
              <w:spacing w:line="560" w:lineRule="exact"/>
              <w:ind w:left="0" w:leftChars="0" w:right="0"/>
              <w:jc w:val="center"/>
              <w:textAlignment w:val="auto"/>
            </w:pPr>
            <w:r>
              <w:rPr>
                <w:rFonts w:hint="eastAsia" w:ascii="宋体" w:hAnsi="宋体" w:eastAsia="宋体" w:cs="宋体"/>
                <w:color w:val="000000"/>
                <w:kern w:val="0"/>
                <w:sz w:val="20"/>
                <w:szCs w:val="20"/>
              </w:rPr>
              <w:t>结果</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2" w:leftChars="0" w:right="0" w:hanging="2" w:hangingChars="1"/>
              <w:jc w:val="center"/>
              <w:textAlignment w:val="auto"/>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宋体" w:hAnsi="宋体" w:eastAsia="宋体" w:cs="宋体"/>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eastAsia="宋体"/>
                <w:lang w:val="en-US" w:eastAsia="zh-CN"/>
              </w:rPr>
            </w:pP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pPr>
            <w:r>
              <w:rPr>
                <w:rFonts w:hint="eastAsia" w:ascii="Calibri" w:hAnsi="Calibri" w:cs="Calibri"/>
                <w:kern w:val="0"/>
                <w:sz w:val="20"/>
                <w:szCs w:val="20"/>
                <w:lang w:val="en-US" w:eastAsia="zh-CN"/>
              </w:rPr>
              <w:t>0</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eastAsia="宋体"/>
                <w:lang w:val="en-US" w:eastAsia="zh-CN"/>
              </w:rPr>
            </w:pPr>
            <w:r>
              <w:rPr>
                <w:rFonts w:hint="eastAsia" w:ascii="Calibri" w:hAnsi="Calibri" w:cs="Calibri"/>
                <w:kern w:val="0"/>
                <w:sz w:val="20"/>
                <w:szCs w:val="20"/>
                <w:lang w:val="en-US" w:eastAsia="zh-CN"/>
              </w:rPr>
              <w:t>0</w:t>
            </w:r>
          </w:p>
        </w:tc>
        <w:tc>
          <w:tcPr>
            <w:tcW w:w="550"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6"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c>
          <w:tcPr>
            <w:tcW w:w="606" w:type="dxa"/>
            <w:tcBorders>
              <w:top w:val="nil"/>
              <w:left w:val="nil"/>
              <w:bottom w:val="single" w:color="auto" w:sz="8" w:space="0"/>
              <w:right w:val="single" w:color="auto" w:sz="8" w:space="0"/>
            </w:tcBorders>
            <w:tcMar>
              <w:left w:w="108" w:type="dxa"/>
              <w:right w:w="108" w:type="dxa"/>
            </w:tcMar>
            <w:vAlign w:val="center"/>
          </w:tcPr>
          <w:p>
            <w:pPr>
              <w:widowControl/>
              <w:wordWrap/>
              <w:adjustRightInd w:val="0"/>
              <w:snapToGrid w:val="0"/>
              <w:spacing w:line="560" w:lineRule="exact"/>
              <w:ind w:left="0" w:leftChars="0" w:right="0"/>
              <w:jc w:val="center"/>
              <w:textAlignment w:val="auto"/>
              <w:rPr>
                <w:rFonts w:hint="eastAsia" w:ascii="Calibri" w:hAnsi="Calibri" w:cs="Calibri"/>
                <w:kern w:val="0"/>
                <w:sz w:val="20"/>
                <w:szCs w:val="20"/>
                <w:lang w:val="en-US" w:eastAsia="zh-CN"/>
              </w:rPr>
            </w:pPr>
            <w:r>
              <w:rPr>
                <w:rFonts w:hint="eastAsia" w:ascii="Calibri" w:hAnsi="Calibri" w:cs="Calibri"/>
                <w:kern w:val="0"/>
                <w:sz w:val="20"/>
                <w:szCs w:val="20"/>
                <w:lang w:val="en-US" w:eastAsia="zh-CN"/>
              </w:rPr>
              <w:t>0</w:t>
            </w:r>
          </w:p>
        </w:tc>
      </w:tr>
    </w:tbl>
    <w:p>
      <w:pPr>
        <w:pStyle w:val="2"/>
        <w:widowControl/>
        <w:shd w:val="clear" w:color="050000" w:fill="FFFFFF"/>
        <w:jc w:val="both"/>
        <w:rPr>
          <w:rFonts w:hint="eastAsia" w:ascii="黑体" w:hAnsi="宋体" w:eastAsia="黑体" w:cs="黑体"/>
          <w:color w:val="333333"/>
          <w:sz w:val="31"/>
          <w:szCs w:val="31"/>
          <w:shd w:val="clear" w:color="040000" w:fill="FFFFFF"/>
          <w:lang w:val="en-US" w:eastAsia="zh-CN"/>
        </w:rPr>
      </w:pPr>
    </w:p>
    <w:p>
      <w:pPr>
        <w:pStyle w:val="2"/>
        <w:widowControl/>
        <w:shd w:val="clear" w:color="050000" w:fill="FFFFFF"/>
        <w:ind w:firstLine="620" w:firstLineChars="200"/>
        <w:jc w:val="both"/>
      </w:pPr>
      <w:r>
        <w:rPr>
          <w:rFonts w:hint="eastAsia" w:ascii="黑体" w:hAnsi="宋体" w:eastAsia="黑体" w:cs="黑体"/>
          <w:color w:val="333333"/>
          <w:sz w:val="31"/>
          <w:szCs w:val="31"/>
          <w:shd w:val="clear" w:color="040000" w:fill="FFFFFF"/>
          <w:lang w:val="en-US" w:eastAsia="zh-CN"/>
        </w:rPr>
        <w:t>五</w:t>
      </w:r>
      <w:r>
        <w:rPr>
          <w:rFonts w:hint="eastAsia" w:ascii="黑体" w:hAnsi="宋体" w:eastAsia="黑体" w:cs="黑体"/>
          <w:color w:val="333333"/>
          <w:sz w:val="31"/>
          <w:szCs w:val="31"/>
          <w:shd w:val="clear" w:color="040000" w:fill="FFFFFF"/>
        </w:rPr>
        <w:t>、存在的主要问题及改进情况</w:t>
      </w:r>
    </w:p>
    <w:p>
      <w:pPr>
        <w:pStyle w:val="2"/>
        <w:widowControl/>
        <w:ind w:left="0" w:firstLine="645"/>
      </w:pPr>
      <w:r>
        <w:rPr>
          <w:rFonts w:hint="eastAsia" w:ascii="仿宋_GB2312" w:eastAsia="仿宋_GB2312" w:cs="仿宋_GB2312"/>
          <w:sz w:val="31"/>
          <w:szCs w:val="31"/>
        </w:rPr>
        <w:t>存在的问题：一是政府信息公开内容不够完善；二是个别内容更新不及时。</w:t>
      </w:r>
    </w:p>
    <w:p>
      <w:pPr>
        <w:pStyle w:val="2"/>
        <w:widowControl/>
        <w:shd w:val="clear" w:color="050000" w:fill="FFFFFF"/>
        <w:ind w:left="0" w:firstLine="645"/>
        <w:jc w:val="both"/>
      </w:pPr>
      <w:r>
        <w:rPr>
          <w:rFonts w:hint="eastAsia" w:ascii="仿宋_GB2312" w:eastAsia="仿宋_GB2312" w:cs="仿宋_GB2312"/>
          <w:sz w:val="31"/>
          <w:szCs w:val="31"/>
          <w:shd w:val="clear" w:color="030000" w:fill="FFFFFF"/>
        </w:rPr>
        <w:t>改进措施：继续深入学习《中华人民共和国政府信息公开条例》及有关文件，准确把握文件精神和工作要求，进一步提升做好政府信息公开工作的责任感，主动、及时公开信息，及时回应群众关切，不断提高政府信息公开工作水平。</w:t>
      </w:r>
    </w:p>
    <w:p>
      <w:pPr>
        <w:pStyle w:val="2"/>
        <w:widowControl/>
        <w:shd w:val="clear" w:color="050000" w:fill="FFFFFF"/>
        <w:ind w:left="0" w:firstLine="420"/>
        <w:jc w:val="both"/>
      </w:pPr>
      <w:r>
        <w:rPr>
          <w:rFonts w:hint="eastAsia" w:ascii="黑体" w:hAnsi="宋体" w:eastAsia="黑体" w:cs="黑体"/>
          <w:color w:val="333333"/>
          <w:sz w:val="31"/>
          <w:szCs w:val="31"/>
          <w:shd w:val="clear" w:color="040000" w:fill="FFFFFF"/>
          <w:lang w:val="en-US" w:eastAsia="zh-CN"/>
        </w:rPr>
        <w:t>六</w:t>
      </w:r>
      <w:r>
        <w:rPr>
          <w:rFonts w:hint="eastAsia" w:ascii="黑体" w:hAnsi="宋体" w:eastAsia="黑体" w:cs="黑体"/>
          <w:color w:val="333333"/>
          <w:sz w:val="31"/>
          <w:szCs w:val="31"/>
          <w:shd w:val="clear" w:color="040000" w:fill="FFFFFF"/>
        </w:rPr>
        <w:t>、其他需要报告的事项</w:t>
      </w:r>
    </w:p>
    <w:p>
      <w:pPr>
        <w:pStyle w:val="2"/>
        <w:widowControl/>
        <w:spacing w:line="390" w:lineRule="atLeast"/>
        <w:ind w:left="0" w:firstLine="555"/>
        <w:jc w:val="both"/>
      </w:pPr>
      <w:r>
        <w:rPr>
          <w:rFonts w:hint="eastAsia" w:ascii="宋体" w:hAnsi="宋体" w:eastAsia="宋体" w:cs="宋体"/>
          <w:color w:val="333333"/>
          <w:sz w:val="28"/>
          <w:szCs w:val="28"/>
          <w:shd w:val="clear" w:color="040000" w:fill="FFFFFF"/>
        </w:rPr>
        <w:t>无</w:t>
      </w:r>
    </w:p>
    <w:p/>
    <w:sectPr>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02491591"/>
    <w:rsid w:val="02EB4867"/>
    <w:rsid w:val="0CB06128"/>
    <w:rsid w:val="14FB22AA"/>
    <w:rsid w:val="1DB53F95"/>
    <w:rsid w:val="2BA91E57"/>
    <w:rsid w:val="2D296AA2"/>
    <w:rsid w:val="35450341"/>
    <w:rsid w:val="5F6F16DD"/>
    <w:rsid w:val="781A1136"/>
    <w:rsid w:val="7E7D1D97"/>
    <w:rsid w:val="7E872701"/>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Style w:val="6"/>
      <w:tblLayout w:type="fixed"/>
      <w:tblCellMar>
        <w:top w:w="0" w:type="dxa"/>
        <w:left w:w="108" w:type="dxa"/>
        <w:bottom w:w="0" w:type="dxa"/>
        <w:right w:w="108" w:type="dxa"/>
      </w:tblCellMar>
    </w:tblPr>
    <w:tcPr>
      <w:textDirection w:val="lrTb"/>
    </w:tcPr>
  </w:style>
  <w:style w:type="paragraph" w:styleId="2">
    <w:name w:val="Normal (Web)"/>
    <w:basedOn w:val="1"/>
    <w:qFormat/>
    <w:uiPriority w:val="0"/>
    <w:pPr>
      <w:spacing w:before="0" w:beforeAutospacing="1" w:after="0" w:afterAutospacing="1"/>
      <w:ind w:left="0" w:right="0"/>
      <w:jc w:val="left"/>
    </w:pPr>
    <w:rPr>
      <w:kern w:val="0"/>
      <w:sz w:val="24"/>
      <w:lang w:val="en-US" w:eastAsia="zh-CN"/>
    </w:r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个人版_9.1.0.4872_{F1E327BC-269C-435d-A152-05C5408002CA}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lenvov5</dc:creator>
  <cp:lastModifiedBy>Administrator</cp:lastModifiedBy>
  <dcterms:modified xsi:type="dcterms:W3CDTF">2022-07-04T06:30:16Z</dcterms:modified>
  <dc:title>张店区发展和改革局2020年政府信息公开工作年度报告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2052-9.1.0.4872</vt:lpwstr>
  </property>
  <property fmtid="{D5CDD505-2E9C-101B-9397-08002B2CF9AE}" pid="3" name="ICV">
    <vt:lpwstr>5801A20726D84D6F8921AA6C20323627</vt:lpwstr>
  </property>
</Properties>
</file>