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ascii="微软雅黑" w:hAnsi="微软雅黑" w:eastAsia="微软雅黑" w:cs="微软雅黑"/>
          <w:i w:val="0"/>
          <w:iCs w:val="0"/>
          <w:caps w:val="0"/>
          <w:color w:val="000000"/>
          <w:spacing w:val="0"/>
          <w:sz w:val="24"/>
          <w:szCs w:val="24"/>
        </w:rPr>
      </w:pPr>
      <w:r>
        <w:rPr>
          <w:rFonts w:ascii="方正小标宋简体" w:hAnsi="方正小标宋简体" w:eastAsia="方正小标宋简体" w:cs="方正小标宋简体"/>
          <w:i w:val="0"/>
          <w:iCs w:val="0"/>
          <w:caps w:val="0"/>
          <w:color w:val="000000"/>
          <w:spacing w:val="0"/>
          <w:sz w:val="44"/>
          <w:szCs w:val="44"/>
          <w:bdr w:val="none" w:color="auto" w:sz="0" w:space="0"/>
        </w:rPr>
        <w:t>张店区人民政府和平街道办事处</w:t>
      </w:r>
      <w:r>
        <w:rPr>
          <w:rFonts w:hint="default" w:ascii="方正小标宋简体" w:hAnsi="方正小标宋简体" w:eastAsia="方正小标宋简体" w:cs="方正小标宋简体"/>
          <w:i w:val="0"/>
          <w:iCs w:val="0"/>
          <w:caps w:val="0"/>
          <w:color w:val="000000"/>
          <w:spacing w:val="0"/>
          <w:sz w:val="44"/>
          <w:szCs w:val="44"/>
          <w:bdr w:val="none" w:color="auto" w:sz="0" w:space="0"/>
        </w:rPr>
        <w:t>2021年政府信息公开工作年度报告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rPr>
          <w:rFonts w:hint="eastAsia" w:ascii="微软雅黑" w:hAnsi="微软雅黑" w:eastAsia="微软雅黑" w:cs="微软雅黑"/>
          <w:i w:val="0"/>
          <w:iCs w:val="0"/>
          <w:caps w:val="0"/>
          <w:color w:val="000000"/>
          <w:spacing w:val="0"/>
          <w:sz w:val="24"/>
          <w:szCs w:val="24"/>
        </w:rPr>
      </w:pPr>
      <w:r>
        <w:rPr>
          <w:rFonts w:hint="default" w:ascii="Times New Roman" w:hAnsi="Times New Roman" w:eastAsia="微软雅黑" w:cs="Times New Roman"/>
          <w:i w:val="0"/>
          <w:iCs w:val="0"/>
          <w:caps w:val="0"/>
          <w:color w:val="000000"/>
          <w:spacing w:val="0"/>
          <w:sz w:val="24"/>
          <w:szCs w:val="24"/>
          <w:bdr w:val="none" w:color="auto" w:sz="0" w:space="0"/>
        </w:rPr>
        <w:t> </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ascii="仿宋_GB2312" w:hAnsi="微软雅黑" w:eastAsia="仿宋_GB2312" w:cs="仿宋_GB2312"/>
          <w:i w:val="0"/>
          <w:iCs w:val="0"/>
          <w:caps w:val="0"/>
          <w:color w:val="000000"/>
          <w:spacing w:val="0"/>
          <w:sz w:val="32"/>
          <w:szCs w:val="32"/>
          <w:bdr w:val="none" w:color="auto" w:sz="0" w:space="0"/>
        </w:rPr>
        <w:t>根据《中华人民共和国政府信息公开条例》第</w:t>
      </w:r>
      <w:r>
        <w:rPr>
          <w:rFonts w:hint="default" w:ascii="仿宋_GB2312" w:hAnsi="微软雅黑" w:eastAsia="仿宋_GB2312" w:cs="仿宋_GB2312"/>
          <w:i w:val="0"/>
          <w:iCs w:val="0"/>
          <w:caps w:val="0"/>
          <w:color w:val="000000"/>
          <w:spacing w:val="0"/>
          <w:sz w:val="32"/>
          <w:szCs w:val="32"/>
          <w:bdr w:val="none" w:color="auto" w:sz="0" w:space="0"/>
        </w:rPr>
        <w:t>五十条的规定和《中华人民共和国政府信息公开工作年度报告格式》(国办公开办函〔2021〕30号)的要求，和平街道办事处编制了《张店区和平街道办事处2021年政府信息公开工作年度报告》。本报告由总体情况，行政机关主动公开政府信息总体情况，行政机关收到和处理政府信息公开申请情况，因政府信息公开工作被申请行政复议、提起行政诉讼情况，政府信息公开工作存在的主要问题及改进情况,其他需要报告的事项六部分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ascii="黑体" w:hAnsi="宋体" w:eastAsia="黑体" w:cs="黑体"/>
          <w:i w:val="0"/>
          <w:iCs w:val="0"/>
          <w:caps w:val="0"/>
          <w:color w:val="000000"/>
          <w:spacing w:val="0"/>
          <w:sz w:val="32"/>
          <w:szCs w:val="32"/>
          <w:bdr w:val="none" w:color="auto" w:sz="0" w:space="0"/>
        </w:rPr>
        <w:t>一、总体情况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bdr w:val="none" w:color="auto" w:sz="0" w:space="0"/>
        </w:rPr>
        <w:t>和平街道办事处严格贯彻落实《中华人民共和国政府信息公开条例》的相关要求，高点定位、狠抓落实，在主动公开、依申请公开、政府信息管理、平台建设、监督保障等方面取得了卓有成效的进步。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rPr>
        <w:t>1.主动公开。进一步完善政府信息公开制度建设，对张店区人民政府和平街道办事处政府信息公开指南进行实时更新。2021年</w:t>
      </w:r>
      <w:r>
        <w:rPr>
          <w:rFonts w:hint="default" w:ascii="仿宋_GB2312" w:hAnsi="微软雅黑" w:eastAsia="仿宋_GB2312" w:cs="仿宋_GB2312"/>
          <w:i w:val="0"/>
          <w:iCs w:val="0"/>
          <w:caps w:val="0"/>
          <w:color w:val="000000"/>
          <w:spacing w:val="0"/>
          <w:sz w:val="32"/>
          <w:szCs w:val="32"/>
          <w:bdr w:val="none" w:color="auto" w:sz="0" w:space="0"/>
        </w:rPr>
        <w:t>主动公开政府信息157条，主要类别有履职依据、机构职能、领导信息、重大决策预公开、会议公开、建议提案、行政权力、财政信息、重点领域信息公开、政策解读、人事信息、业务动态等。进一步加强政策解读，做到出台文件与解读内容同时发布。对于群众诉求，确保按时回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24"/>
          <w:szCs w:val="24"/>
          <w:lang w:eastAsia="zh-CN"/>
        </w:rPr>
      </w:pPr>
      <w:r>
        <w:rPr>
          <w:rFonts w:hint="eastAsia" w:ascii="微软雅黑" w:hAnsi="微软雅黑" w:eastAsia="微软雅黑" w:cs="微软雅黑"/>
          <w:i w:val="0"/>
          <w:iCs w:val="0"/>
          <w:caps w:val="0"/>
          <w:color w:val="000000"/>
          <w:spacing w:val="0"/>
          <w:sz w:val="24"/>
          <w:szCs w:val="24"/>
          <w:lang w:eastAsia="zh-CN"/>
        </w:rPr>
        <w:drawing>
          <wp:inline distT="0" distB="0" distL="114300" distR="114300">
            <wp:extent cx="4657725" cy="2828925"/>
            <wp:effectExtent l="0" t="0" r="9525" b="9525"/>
            <wp:docPr id="3" name="图片 3" descr="62289c413f963d17a234d2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2289c413f963d17a234d22a"/>
                    <pic:cNvPicPr>
                      <a:picLocks noChangeAspect="1"/>
                    </pic:cNvPicPr>
                  </pic:nvPicPr>
                  <pic:blipFill>
                    <a:blip r:embed="rId4"/>
                    <a:stretch>
                      <a:fillRect/>
                    </a:stretch>
                  </pic:blipFill>
                  <pic:spPr>
                    <a:xfrm>
                      <a:off x="0" y="0"/>
                      <a:ext cx="4657725" cy="2828925"/>
                    </a:xfrm>
                    <a:prstGeom prst="rect">
                      <a:avLst/>
                    </a:prstGeom>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bdr w:val="none" w:color="auto" w:sz="0" w:space="0"/>
        </w:rPr>
        <w:t>2.依申请公开。2021年收到依申请公开事项2件，主要涉及城西新村片区城市更新项目和世纪路商场路路口东南角恒基花苑西门沿街房户外广告牌规划问题，全部按时答复，未收取任何材料费用，未收到政府信息公开行政复议、行政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bdr w:val="none" w:color="auto" w:sz="0" w:space="0"/>
        </w:rPr>
        <w:t>3.政府信息管理。细化工作制度，加强政务公开工作领导小组建设，及时更新主动公开基本目录。对于拟发布的信息进行多次审核，并最终交由专人上传政府网站。向相关群众、企业等精准推送政务公开信息，设置一键查询功能，不断提升服务的自觉性和便利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bdr w:val="none" w:color="auto" w:sz="0" w:space="0"/>
        </w:rPr>
        <w:drawing>
          <wp:inline distT="0" distB="0" distL="114300" distR="114300">
            <wp:extent cx="4762500" cy="356235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4762500" cy="35623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bdr w:val="none" w:color="auto" w:sz="0" w:space="0"/>
        </w:rPr>
        <w:t>4.政务信息公开平台建设。加强本单位政府网站建设，做到实时更新、全面公开。融合和平街道便民服务平台和和平街道党建两个政务新媒体，丰富政务公开形式。设立和平街道办事处和和平街道党群服务中心两个政府信息公开查阅点，切实做好线下便民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bdr w:val="none" w:color="auto" w:sz="0" w:space="0"/>
        </w:rPr>
        <w:t>5.监督保障。和平街道政务公开领导小组负责对本单位政务公开工作进行监督，每季度进行例行检查。政务公开领导小组下设办公室，设在和平街道党政办，由党工委副书记担任办公室主任，四名党政办工作人员担任政务公开专职人员。2021年共举办4次政务公开培训，有效提高了相关工作人员的业务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bdr w:val="none" w:color="auto" w:sz="0" w:space="0"/>
        </w:rPr>
        <w:t>所列数据的统计期限是2021年1月1日至2021年12月31日。本报告电子版可以在淄博市张店区人民政府门户网站（www.zhangdian.gov.cn）查阅或下载。如对报告内容有疑问，请与张店区和平街道办事处党政办公室联系（地址：张店区南西四路16号，邮编：255000，电话：0533-2216633，传真：0533-2216633，电子邮箱：zdqhpjd@zb.shandong.c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rPr>
        <w:t>二、主动公开政府信息情况</w:t>
      </w:r>
    </w:p>
    <w:tbl>
      <w:tblPr>
        <w:tblW w:w="8708" w:type="dxa"/>
        <w:tblInd w:w="0" w:type="dxa"/>
        <w:tblBorders>
          <w:top w:val="none" w:color="auto" w:sz="6" w:space="0"/>
          <w:left w:val="none" w:color="auto" w:sz="6" w:space="0"/>
          <w:bottom w:val="none" w:color="auto" w:sz="6" w:space="0"/>
          <w:right w:val="none" w:color="auto" w:sz="6" w:space="0"/>
          <w:insideH w:val="none" w:color="auto" w:sz="0" w:space="0"/>
          <w:insideV w:val="none" w:color="auto" w:sz="0" w:space="0"/>
        </w:tblBorders>
        <w:shd w:val="clear"/>
        <w:tblLayout w:type="autofit"/>
        <w:tblCellMar>
          <w:top w:w="0" w:type="dxa"/>
          <w:left w:w="0" w:type="dxa"/>
          <w:bottom w:w="0" w:type="dxa"/>
          <w:right w:w="0" w:type="dxa"/>
        </w:tblCellMar>
      </w:tblPr>
      <w:tblGrid>
        <w:gridCol w:w="2373"/>
        <w:gridCol w:w="1800"/>
        <w:gridCol w:w="1863"/>
        <w:gridCol w:w="2672"/>
      </w:tblGrid>
      <w:tr>
        <w:tblPrEx>
          <w:tblBorders>
            <w:top w:val="none" w:color="auto" w:sz="6" w:space="0"/>
            <w:left w:val="none" w:color="auto" w:sz="6" w:space="0"/>
            <w:bottom w:val="none" w:color="auto" w:sz="6" w:space="0"/>
            <w:right w:val="none" w:color="auto" w:sz="6" w:space="0"/>
            <w:insideH w:val="none" w:color="auto" w:sz="0" w:space="0"/>
            <w:insideV w:val="none" w:color="auto" w:sz="0" w:space="0"/>
          </w:tblBorders>
          <w:shd w:val="clear"/>
          <w:tblCellMar>
            <w:top w:w="0" w:type="dxa"/>
            <w:left w:w="0" w:type="dxa"/>
            <w:bottom w:w="0" w:type="dxa"/>
            <w:right w:w="0" w:type="dxa"/>
          </w:tblCellMar>
        </w:tblPrEx>
        <w:trPr>
          <w:trHeight w:val="594" w:hRule="atLeast"/>
        </w:trPr>
        <w:tc>
          <w:tcPr>
            <w:tcW w:w="8708"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第二十条第（一）项</w:t>
            </w:r>
          </w:p>
        </w:tc>
      </w:tr>
      <w:tr>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0" w:type="dxa"/>
            <w:bottom w:w="0" w:type="dxa"/>
            <w:right w:w="0" w:type="dxa"/>
          </w:tblCellMar>
        </w:tblPrEx>
        <w:trPr>
          <w:trHeight w:val="866" w:hRule="atLeast"/>
        </w:trPr>
        <w:tc>
          <w:tcPr>
            <w:tcW w:w="23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信息内容</w:t>
            </w:r>
          </w:p>
        </w:tc>
        <w:tc>
          <w:tcPr>
            <w:tcW w:w="180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本年制发件数</w:t>
            </w:r>
          </w:p>
        </w:tc>
        <w:tc>
          <w:tcPr>
            <w:tcW w:w="18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本年废止件数</w:t>
            </w:r>
          </w:p>
        </w:tc>
        <w:tc>
          <w:tcPr>
            <w:tcW w:w="267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现行有效件数</w:t>
            </w:r>
          </w:p>
        </w:tc>
      </w:tr>
      <w:tr>
        <w:tblPrEx>
          <w:tblBorders>
            <w:top w:val="none" w:color="auto" w:sz="6" w:space="0"/>
            <w:left w:val="none" w:color="auto" w:sz="6" w:space="0"/>
            <w:bottom w:val="none" w:color="auto" w:sz="6" w:space="0"/>
            <w:right w:val="none" w:color="auto" w:sz="6" w:space="0"/>
            <w:insideH w:val="none" w:color="auto" w:sz="0" w:space="0"/>
            <w:insideV w:val="none" w:color="auto" w:sz="0" w:space="0"/>
          </w:tblBorders>
          <w:shd w:val="clear"/>
          <w:tblCellMar>
            <w:top w:w="0" w:type="dxa"/>
            <w:left w:w="0" w:type="dxa"/>
            <w:bottom w:w="0" w:type="dxa"/>
            <w:right w:w="0" w:type="dxa"/>
          </w:tblCellMar>
        </w:tblPrEx>
        <w:trPr>
          <w:trHeight w:val="399" w:hRule="atLeast"/>
        </w:trPr>
        <w:tc>
          <w:tcPr>
            <w:tcW w:w="23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宋体" w:hAnsi="宋体" w:eastAsia="宋体" w:cs="宋体"/>
                <w:i w:val="0"/>
                <w:iCs w:val="0"/>
                <w:caps w:val="0"/>
                <w:color w:val="000000"/>
                <w:spacing w:val="0"/>
                <w:sz w:val="24"/>
                <w:szCs w:val="24"/>
                <w:bdr w:val="none" w:color="auto" w:sz="0" w:space="0"/>
              </w:rPr>
              <w:t>规章</w:t>
            </w:r>
          </w:p>
        </w:tc>
        <w:tc>
          <w:tcPr>
            <w:tcW w:w="180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0</w:t>
            </w:r>
          </w:p>
        </w:tc>
        <w:tc>
          <w:tcPr>
            <w:tcW w:w="18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 0</w:t>
            </w:r>
          </w:p>
        </w:tc>
        <w:tc>
          <w:tcPr>
            <w:tcW w:w="267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　0</w:t>
            </w:r>
          </w:p>
        </w:tc>
      </w:tr>
      <w:tr>
        <w:tblPrEx>
          <w:tblBorders>
            <w:top w:val="none" w:color="auto" w:sz="6" w:space="0"/>
            <w:left w:val="none" w:color="auto" w:sz="6" w:space="0"/>
            <w:bottom w:val="none" w:color="auto" w:sz="6" w:space="0"/>
            <w:right w:val="none" w:color="auto" w:sz="6" w:space="0"/>
            <w:insideH w:val="none" w:color="auto" w:sz="0" w:space="0"/>
            <w:insideV w:val="none" w:color="auto" w:sz="0" w:space="0"/>
          </w:tblBorders>
          <w:shd w:val="clear"/>
          <w:tblCellMar>
            <w:top w:w="0" w:type="dxa"/>
            <w:left w:w="0" w:type="dxa"/>
            <w:bottom w:w="0" w:type="dxa"/>
            <w:right w:w="0" w:type="dxa"/>
          </w:tblCellMar>
        </w:tblPrEx>
        <w:trPr>
          <w:trHeight w:val="404" w:hRule="atLeast"/>
        </w:trPr>
        <w:tc>
          <w:tcPr>
            <w:tcW w:w="23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宋体" w:hAnsi="宋体" w:eastAsia="宋体" w:cs="宋体"/>
                <w:i w:val="0"/>
                <w:iCs w:val="0"/>
                <w:caps w:val="0"/>
                <w:color w:val="000000"/>
                <w:spacing w:val="0"/>
                <w:sz w:val="24"/>
                <w:szCs w:val="24"/>
                <w:bdr w:val="none" w:color="auto" w:sz="0" w:space="0"/>
              </w:rPr>
              <w:t>行政规范性文件</w:t>
            </w:r>
          </w:p>
        </w:tc>
        <w:tc>
          <w:tcPr>
            <w:tcW w:w="180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0　</w:t>
            </w:r>
          </w:p>
        </w:tc>
        <w:tc>
          <w:tcPr>
            <w:tcW w:w="18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 0</w:t>
            </w:r>
          </w:p>
        </w:tc>
        <w:tc>
          <w:tcPr>
            <w:tcW w:w="267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 0</w:t>
            </w:r>
          </w:p>
        </w:tc>
      </w:tr>
      <w:tr>
        <w:tblPrEx>
          <w:tblBorders>
            <w:top w:val="none" w:color="auto" w:sz="6" w:space="0"/>
            <w:left w:val="none" w:color="auto" w:sz="6" w:space="0"/>
            <w:bottom w:val="none" w:color="auto" w:sz="6" w:space="0"/>
            <w:right w:val="none" w:color="auto" w:sz="6"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8708"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第二十条第（五）项</w:t>
            </w:r>
          </w:p>
        </w:tc>
      </w:tr>
      <w:tr>
        <w:tblPrEx>
          <w:tblBorders>
            <w:top w:val="none" w:color="auto" w:sz="6" w:space="0"/>
            <w:left w:val="none" w:color="auto" w:sz="6" w:space="0"/>
            <w:bottom w:val="none" w:color="auto" w:sz="6" w:space="0"/>
            <w:right w:val="none" w:color="auto" w:sz="6" w:space="0"/>
            <w:insideH w:val="none" w:color="auto" w:sz="0" w:space="0"/>
            <w:insideV w:val="none" w:color="auto" w:sz="0" w:space="0"/>
          </w:tblBorders>
          <w:shd w:val="clear"/>
          <w:tblCellMar>
            <w:top w:w="0" w:type="dxa"/>
            <w:left w:w="0" w:type="dxa"/>
            <w:bottom w:w="0" w:type="dxa"/>
            <w:right w:w="0" w:type="dxa"/>
          </w:tblCellMar>
        </w:tblPrEx>
        <w:trPr>
          <w:trHeight w:val="516" w:hRule="atLeast"/>
        </w:trPr>
        <w:tc>
          <w:tcPr>
            <w:tcW w:w="23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信息内容</w:t>
            </w:r>
          </w:p>
        </w:tc>
        <w:tc>
          <w:tcPr>
            <w:tcW w:w="633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本年处理决定数量</w:t>
            </w:r>
          </w:p>
        </w:tc>
      </w:tr>
      <w:tr>
        <w:tblPrEx>
          <w:tblBorders>
            <w:top w:val="none" w:color="auto" w:sz="6" w:space="0"/>
            <w:left w:val="none" w:color="auto" w:sz="6" w:space="0"/>
            <w:bottom w:val="none" w:color="auto" w:sz="6" w:space="0"/>
            <w:right w:val="none" w:color="auto" w:sz="6" w:space="0"/>
            <w:insideH w:val="none" w:color="auto" w:sz="0" w:space="0"/>
            <w:insideV w:val="none" w:color="auto" w:sz="0" w:space="0"/>
          </w:tblBorders>
          <w:shd w:val="clear"/>
          <w:tblCellMar>
            <w:top w:w="0" w:type="dxa"/>
            <w:left w:w="0" w:type="dxa"/>
            <w:bottom w:w="0" w:type="dxa"/>
            <w:right w:w="0" w:type="dxa"/>
          </w:tblCellMar>
        </w:tblPrEx>
        <w:trPr>
          <w:trHeight w:val="608" w:hRule="atLeast"/>
        </w:trPr>
        <w:tc>
          <w:tcPr>
            <w:tcW w:w="23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宋体" w:hAnsi="宋体" w:eastAsia="宋体" w:cs="宋体"/>
                <w:i w:val="0"/>
                <w:iCs w:val="0"/>
                <w:caps w:val="0"/>
                <w:color w:val="000000"/>
                <w:spacing w:val="0"/>
                <w:sz w:val="24"/>
                <w:szCs w:val="24"/>
                <w:bdr w:val="none" w:color="auto" w:sz="0" w:space="0"/>
              </w:rPr>
              <w:t>行政许可</w:t>
            </w:r>
          </w:p>
        </w:tc>
        <w:tc>
          <w:tcPr>
            <w:tcW w:w="633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0</w:t>
            </w:r>
          </w:p>
        </w:tc>
      </w:tr>
      <w:tr>
        <w:tblPrEx>
          <w:tblBorders>
            <w:top w:val="none" w:color="auto" w:sz="6" w:space="0"/>
            <w:left w:val="none" w:color="auto" w:sz="6" w:space="0"/>
            <w:bottom w:val="none" w:color="auto" w:sz="6" w:space="0"/>
            <w:right w:val="none" w:color="auto" w:sz="6" w:space="0"/>
            <w:insideH w:val="none" w:color="auto" w:sz="0" w:space="0"/>
            <w:insideV w:val="none" w:color="auto" w:sz="0" w:space="0"/>
          </w:tblBorders>
          <w:shd w:val="clear"/>
          <w:tblCellMar>
            <w:top w:w="0" w:type="dxa"/>
            <w:left w:w="0" w:type="dxa"/>
            <w:bottom w:w="0" w:type="dxa"/>
            <w:right w:w="0" w:type="dxa"/>
          </w:tblCellMar>
        </w:tblPrEx>
        <w:trPr>
          <w:trHeight w:val="497" w:hRule="atLeast"/>
        </w:trPr>
        <w:tc>
          <w:tcPr>
            <w:tcW w:w="8708"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第二十条第（六）项</w:t>
            </w:r>
          </w:p>
        </w:tc>
      </w:tr>
      <w:tr>
        <w:tblPrEx>
          <w:tblBorders>
            <w:top w:val="none" w:color="auto" w:sz="6" w:space="0"/>
            <w:left w:val="none" w:color="auto" w:sz="6" w:space="0"/>
            <w:bottom w:val="none" w:color="auto" w:sz="6" w:space="0"/>
            <w:right w:val="none" w:color="auto" w:sz="6" w:space="0"/>
            <w:insideH w:val="none" w:color="auto" w:sz="0" w:space="0"/>
            <w:insideV w:val="none" w:color="auto" w:sz="0" w:space="0"/>
          </w:tblBorders>
          <w:shd w:val="clear"/>
          <w:tblCellMar>
            <w:top w:w="0" w:type="dxa"/>
            <w:left w:w="0" w:type="dxa"/>
            <w:bottom w:w="0" w:type="dxa"/>
            <w:right w:w="0" w:type="dxa"/>
          </w:tblCellMar>
        </w:tblPrEx>
        <w:trPr>
          <w:trHeight w:val="547" w:hRule="atLeast"/>
        </w:trPr>
        <w:tc>
          <w:tcPr>
            <w:tcW w:w="23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信息内容</w:t>
            </w:r>
          </w:p>
        </w:tc>
        <w:tc>
          <w:tcPr>
            <w:tcW w:w="633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本年处理决定数量</w:t>
            </w:r>
          </w:p>
        </w:tc>
      </w:tr>
      <w:tr>
        <w:tblPrEx>
          <w:tblBorders>
            <w:top w:val="none" w:color="auto" w:sz="6" w:space="0"/>
            <w:left w:val="none" w:color="auto" w:sz="6" w:space="0"/>
            <w:bottom w:val="none" w:color="auto" w:sz="6" w:space="0"/>
            <w:right w:val="none" w:color="auto" w:sz="6" w:space="0"/>
            <w:insideH w:val="none" w:color="auto" w:sz="0" w:space="0"/>
            <w:insideV w:val="none" w:color="auto" w:sz="0" w:space="0"/>
          </w:tblBorders>
          <w:shd w:val="clear"/>
          <w:tblCellMar>
            <w:top w:w="0" w:type="dxa"/>
            <w:left w:w="0" w:type="dxa"/>
            <w:bottom w:w="0" w:type="dxa"/>
            <w:right w:w="0" w:type="dxa"/>
          </w:tblCellMar>
        </w:tblPrEx>
        <w:trPr>
          <w:trHeight w:val="430" w:hRule="atLeast"/>
        </w:trPr>
        <w:tc>
          <w:tcPr>
            <w:tcW w:w="23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宋体" w:hAnsi="宋体" w:eastAsia="宋体" w:cs="宋体"/>
                <w:i w:val="0"/>
                <w:iCs w:val="0"/>
                <w:caps w:val="0"/>
                <w:color w:val="000000"/>
                <w:spacing w:val="0"/>
                <w:sz w:val="24"/>
                <w:szCs w:val="24"/>
                <w:bdr w:val="none" w:color="auto" w:sz="0" w:space="0"/>
              </w:rPr>
              <w:t>行政处罚</w:t>
            </w:r>
          </w:p>
        </w:tc>
        <w:tc>
          <w:tcPr>
            <w:tcW w:w="633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0</w:t>
            </w:r>
          </w:p>
        </w:tc>
      </w:tr>
      <w:tr>
        <w:tblPrEx>
          <w:tblBorders>
            <w:top w:val="none" w:color="auto" w:sz="6" w:space="0"/>
            <w:left w:val="none" w:color="auto" w:sz="6" w:space="0"/>
            <w:bottom w:val="none" w:color="auto" w:sz="6" w:space="0"/>
            <w:right w:val="none" w:color="auto" w:sz="6" w:space="0"/>
            <w:insideH w:val="none" w:color="auto" w:sz="0" w:space="0"/>
            <w:insideV w:val="none" w:color="auto" w:sz="0" w:space="0"/>
          </w:tblBorders>
          <w:shd w:val="clear"/>
          <w:tblCellMar>
            <w:top w:w="0" w:type="dxa"/>
            <w:left w:w="0" w:type="dxa"/>
            <w:bottom w:w="0" w:type="dxa"/>
            <w:right w:w="0" w:type="dxa"/>
          </w:tblCellMar>
        </w:tblPrEx>
        <w:trPr>
          <w:trHeight w:val="409" w:hRule="atLeast"/>
        </w:trPr>
        <w:tc>
          <w:tcPr>
            <w:tcW w:w="23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宋体" w:hAnsi="宋体" w:eastAsia="宋体" w:cs="宋体"/>
                <w:i w:val="0"/>
                <w:iCs w:val="0"/>
                <w:caps w:val="0"/>
                <w:color w:val="000000"/>
                <w:spacing w:val="0"/>
                <w:sz w:val="24"/>
                <w:szCs w:val="24"/>
                <w:bdr w:val="none" w:color="auto" w:sz="0" w:space="0"/>
              </w:rPr>
              <w:t>行政强制</w:t>
            </w:r>
          </w:p>
        </w:tc>
        <w:tc>
          <w:tcPr>
            <w:tcW w:w="633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0</w:t>
            </w:r>
          </w:p>
        </w:tc>
      </w:tr>
      <w:tr>
        <w:tblPrEx>
          <w:tblBorders>
            <w:top w:val="none" w:color="auto" w:sz="6" w:space="0"/>
            <w:left w:val="none" w:color="auto" w:sz="6" w:space="0"/>
            <w:bottom w:val="none" w:color="auto" w:sz="6" w:space="0"/>
            <w:right w:val="none" w:color="auto" w:sz="6" w:space="0"/>
            <w:insideH w:val="none" w:color="auto" w:sz="0" w:space="0"/>
            <w:insideV w:val="none" w:color="auto" w:sz="0" w:space="0"/>
          </w:tblBorders>
          <w:shd w:val="clear"/>
          <w:tblCellMar>
            <w:top w:w="0" w:type="dxa"/>
            <w:left w:w="0" w:type="dxa"/>
            <w:bottom w:w="0" w:type="dxa"/>
            <w:right w:w="0" w:type="dxa"/>
          </w:tblCellMar>
        </w:tblPrEx>
        <w:trPr>
          <w:trHeight w:val="474" w:hRule="atLeast"/>
        </w:trPr>
        <w:tc>
          <w:tcPr>
            <w:tcW w:w="8708"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第二十条第（八）项</w:t>
            </w:r>
          </w:p>
        </w:tc>
      </w:tr>
      <w:tr>
        <w:tblPrEx>
          <w:tblBorders>
            <w:top w:val="none" w:color="auto" w:sz="6" w:space="0"/>
            <w:left w:val="none" w:color="auto" w:sz="6" w:space="0"/>
            <w:bottom w:val="none" w:color="auto" w:sz="6" w:space="0"/>
            <w:right w:val="none" w:color="auto" w:sz="6" w:space="0"/>
            <w:insideH w:val="none" w:color="auto" w:sz="0" w:space="0"/>
            <w:insideV w:val="none" w:color="auto" w:sz="0" w:space="0"/>
          </w:tblBorders>
          <w:shd w:val="clear"/>
          <w:tblCellMar>
            <w:top w:w="0" w:type="dxa"/>
            <w:left w:w="0" w:type="dxa"/>
            <w:bottom w:w="0" w:type="dxa"/>
            <w:right w:w="0" w:type="dxa"/>
          </w:tblCellMar>
        </w:tblPrEx>
        <w:trPr>
          <w:trHeight w:val="447" w:hRule="atLeast"/>
        </w:trPr>
        <w:tc>
          <w:tcPr>
            <w:tcW w:w="23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信息内容</w:t>
            </w:r>
          </w:p>
        </w:tc>
        <w:tc>
          <w:tcPr>
            <w:tcW w:w="6335" w:type="dxa"/>
            <w:gridSpan w:val="3"/>
            <w:tcBorders>
              <w:top w:val="nil"/>
              <w:left w:val="nil"/>
              <w:bottom w:val="single" w:color="auto"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本年收费金额（单位：万元）</w:t>
            </w:r>
          </w:p>
        </w:tc>
      </w:tr>
      <w:tr>
        <w:tblPrEx>
          <w:tblBorders>
            <w:top w:val="none" w:color="auto" w:sz="6" w:space="0"/>
            <w:left w:val="none" w:color="auto" w:sz="6" w:space="0"/>
            <w:bottom w:val="none" w:color="auto" w:sz="6" w:space="0"/>
            <w:right w:val="none" w:color="auto" w:sz="6" w:space="0"/>
            <w:insideH w:val="none" w:color="auto" w:sz="0" w:space="0"/>
            <w:insideV w:val="none" w:color="auto" w:sz="0" w:space="0"/>
          </w:tblBorders>
          <w:shd w:val="clear"/>
          <w:tblCellMar>
            <w:top w:w="0" w:type="dxa"/>
            <w:left w:w="0" w:type="dxa"/>
            <w:bottom w:w="0" w:type="dxa"/>
            <w:right w:w="0" w:type="dxa"/>
          </w:tblCellMar>
        </w:tblPrEx>
        <w:trPr>
          <w:trHeight w:val="440" w:hRule="atLeast"/>
        </w:trPr>
        <w:tc>
          <w:tcPr>
            <w:tcW w:w="23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宋体" w:hAnsi="宋体" w:eastAsia="宋体" w:cs="宋体"/>
                <w:i w:val="0"/>
                <w:iCs w:val="0"/>
                <w:caps w:val="0"/>
                <w:color w:val="000000"/>
                <w:spacing w:val="0"/>
                <w:sz w:val="24"/>
                <w:szCs w:val="24"/>
                <w:bdr w:val="none" w:color="auto" w:sz="0" w:space="0"/>
              </w:rPr>
              <w:t>行政事业性收费</w:t>
            </w:r>
          </w:p>
        </w:tc>
        <w:tc>
          <w:tcPr>
            <w:tcW w:w="6335" w:type="dxa"/>
            <w:gridSpan w:val="3"/>
            <w:tcBorders>
              <w:top w:val="nil"/>
              <w:left w:val="nil"/>
              <w:bottom w:val="single" w:color="auto"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i w:val="0"/>
                <w:iCs w:val="0"/>
                <w:caps w:val="0"/>
                <w:color w:val="000000"/>
                <w:spacing w:val="0"/>
                <w:sz w:val="24"/>
                <w:szCs w:val="24"/>
                <w:bdr w:val="none" w:color="auto" w:sz="0" w:space="0"/>
              </w:rPr>
              <w:t>0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rPr>
        <w:t>三、收到和处理政府信息公开申请情况</w:t>
      </w:r>
    </w:p>
    <w:tbl>
      <w:tblPr>
        <w:tblW w:w="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16"/>
        <w:gridCol w:w="1334"/>
        <w:gridCol w:w="2532"/>
        <w:gridCol w:w="791"/>
        <w:gridCol w:w="533"/>
        <w:gridCol w:w="533"/>
        <w:gridCol w:w="533"/>
        <w:gridCol w:w="533"/>
        <w:gridCol w:w="511"/>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13" w:hRule="atLeast"/>
          <w:jc w:val="center"/>
        </w:trPr>
        <w:tc>
          <w:tcPr>
            <w:tcW w:w="4814" w:type="dxa"/>
            <w:gridSpan w:val="3"/>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宋体" w:hAnsi="宋体" w:eastAsia="宋体" w:cs="宋体"/>
                <w:sz w:val="20"/>
                <w:szCs w:val="20"/>
                <w:bdr w:val="none" w:color="auto" w:sz="0" w:space="0"/>
              </w:rPr>
              <w:t>（本列数据的勾稽关系为：第一项加第二项之和，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sz w:val="20"/>
                <w:szCs w:val="20"/>
                <w:bdr w:val="none" w:color="auto" w:sz="0" w:space="0"/>
              </w:rPr>
              <w:t>等于第三项加第四项之和）</w:t>
            </w:r>
          </w:p>
        </w:tc>
        <w:tc>
          <w:tcPr>
            <w:tcW w:w="4257" w:type="dxa"/>
            <w:gridSpan w:val="7"/>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sz w:val="20"/>
                <w:szCs w:val="20"/>
                <w:bdr w:val="none" w:color="auto" w:sz="0" w:space="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25" w:hRule="atLeast"/>
          <w:jc w:val="center"/>
        </w:trPr>
        <w:tc>
          <w:tcPr>
            <w:tcW w:w="4814" w:type="dxa"/>
            <w:gridSpan w:val="3"/>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42"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sz w:val="20"/>
                <w:szCs w:val="20"/>
                <w:bdr w:val="none" w:color="auto" w:sz="0" w:space="0"/>
              </w:rPr>
              <w:t>自然人</w:t>
            </w:r>
          </w:p>
        </w:tc>
        <w:tc>
          <w:tcPr>
            <w:tcW w:w="2784" w:type="dxa"/>
            <w:gridSpan w:val="5"/>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sz w:val="20"/>
                <w:szCs w:val="20"/>
                <w:bdr w:val="none" w:color="auto" w:sz="0" w:space="0"/>
              </w:rPr>
              <w:t>法人或其他组织</w:t>
            </w:r>
          </w:p>
        </w:tc>
        <w:tc>
          <w:tcPr>
            <w:tcW w:w="631"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sz w:val="20"/>
                <w:szCs w:val="20"/>
                <w:bdr w:val="none" w:color="auto" w:sz="0" w:space="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127" w:hRule="atLeast"/>
          <w:jc w:val="center"/>
        </w:trPr>
        <w:tc>
          <w:tcPr>
            <w:tcW w:w="4814" w:type="dxa"/>
            <w:gridSpan w:val="3"/>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4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06" w:right="-107" w:hanging="1"/>
              <w:jc w:val="center"/>
              <w:rPr>
                <w:sz w:val="24"/>
                <w:szCs w:val="24"/>
              </w:rPr>
            </w:pPr>
            <w:r>
              <w:rPr>
                <w:rFonts w:hint="eastAsia" w:ascii="宋体" w:hAnsi="宋体" w:eastAsia="宋体" w:cs="宋体"/>
                <w:sz w:val="20"/>
                <w:szCs w:val="20"/>
                <w:bdr w:val="none" w:color="auto" w:sz="0" w:space="0"/>
              </w:rPr>
              <w:t>商业企业</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07" w:right="-107"/>
              <w:jc w:val="center"/>
              <w:rPr>
                <w:sz w:val="24"/>
                <w:szCs w:val="24"/>
              </w:rPr>
            </w:pPr>
            <w:r>
              <w:rPr>
                <w:rFonts w:hint="eastAsia" w:ascii="宋体" w:hAnsi="宋体" w:eastAsia="宋体" w:cs="宋体"/>
                <w:sz w:val="20"/>
                <w:szCs w:val="20"/>
                <w:bdr w:val="none" w:color="auto" w:sz="0" w:space="0"/>
              </w:rPr>
              <w:t>科研机构</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07" w:right="-107"/>
              <w:jc w:val="center"/>
              <w:rPr>
                <w:sz w:val="24"/>
                <w:szCs w:val="24"/>
              </w:rPr>
            </w:pPr>
            <w:r>
              <w:rPr>
                <w:rFonts w:hint="eastAsia" w:ascii="宋体" w:hAnsi="宋体" w:eastAsia="宋体" w:cs="宋体"/>
                <w:sz w:val="20"/>
                <w:szCs w:val="20"/>
                <w:bdr w:val="none" w:color="auto" w:sz="0" w:space="0"/>
              </w:rPr>
              <w:t>社会公益组织</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06" w:right="-107" w:hanging="1"/>
              <w:jc w:val="center"/>
              <w:rPr>
                <w:sz w:val="24"/>
                <w:szCs w:val="24"/>
              </w:rPr>
            </w:pPr>
            <w:r>
              <w:rPr>
                <w:rFonts w:hint="eastAsia" w:ascii="宋体" w:hAnsi="宋体" w:eastAsia="宋体" w:cs="宋体"/>
                <w:sz w:val="20"/>
                <w:szCs w:val="20"/>
                <w:bdr w:val="none" w:color="auto" w:sz="0" w:space="0"/>
              </w:rPr>
              <w:t>法律服务机构</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63" w:right="-134"/>
              <w:jc w:val="center"/>
              <w:rPr>
                <w:sz w:val="24"/>
                <w:szCs w:val="24"/>
              </w:rPr>
            </w:pPr>
            <w:r>
              <w:rPr>
                <w:rFonts w:hint="eastAsia" w:ascii="宋体" w:hAnsi="宋体" w:eastAsia="宋体" w:cs="宋体"/>
                <w:sz w:val="20"/>
                <w:szCs w:val="20"/>
                <w:bdr w:val="none" w:color="auto" w:sz="0" w:space="0"/>
              </w:rPr>
              <w:t>其他</w:t>
            </w:r>
          </w:p>
        </w:tc>
        <w:tc>
          <w:tcPr>
            <w:tcW w:w="63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814"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宋体" w:hAnsi="宋体" w:eastAsia="宋体" w:cs="宋体"/>
                <w:sz w:val="20"/>
                <w:szCs w:val="20"/>
                <w:bdr w:val="none" w:color="auto" w:sz="0" w:space="0"/>
              </w:rPr>
              <w:t>一、本年新收政府信息公开申请数量</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2</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814"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宋体" w:hAnsi="宋体" w:eastAsia="宋体" w:cs="宋体"/>
                <w:sz w:val="20"/>
                <w:szCs w:val="20"/>
                <w:bdr w:val="none" w:color="auto" w:sz="0" w:space="0"/>
              </w:rPr>
              <w:t>二、上年结转政府信息公开申请数量</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1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rPr>
                <w:sz w:val="24"/>
                <w:szCs w:val="24"/>
              </w:rPr>
            </w:pPr>
            <w:r>
              <w:rPr>
                <w:rFonts w:hint="eastAsia" w:ascii="宋体" w:hAnsi="宋体" w:eastAsia="宋体" w:cs="宋体"/>
                <w:sz w:val="20"/>
                <w:szCs w:val="20"/>
                <w:bdr w:val="none" w:color="auto" w:sz="0" w:space="0"/>
              </w:rPr>
              <w:t>三、本年度办理结果</w:t>
            </w:r>
          </w:p>
        </w:tc>
        <w:tc>
          <w:tcPr>
            <w:tcW w:w="4198"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ascii="楷体" w:hAnsi="楷体" w:eastAsia="楷体" w:cs="楷体"/>
                <w:sz w:val="20"/>
                <w:szCs w:val="20"/>
                <w:bdr w:val="none" w:color="auto" w:sz="0" w:space="0"/>
              </w:rPr>
              <w:t>（一）予以公开</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1</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198"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（二）部分公开（区分处理的，只计这一情形，不计其他情形）</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07" w:right="0"/>
              <w:rPr>
                <w:sz w:val="24"/>
                <w:szCs w:val="24"/>
              </w:rPr>
            </w:pPr>
            <w:r>
              <w:rPr>
                <w:rFonts w:hint="eastAsia" w:ascii="楷体" w:hAnsi="楷体" w:eastAsia="楷体" w:cs="楷体"/>
                <w:sz w:val="20"/>
                <w:szCs w:val="20"/>
                <w:bdr w:val="none" w:color="auto" w:sz="0" w:space="0"/>
              </w:rPr>
              <w:t>（三）不予公开</w:t>
            </w: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1.属于国家秘密</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2.其他法律行政法规禁止公开</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3.危及“三安全一稳定”</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4.保护第三方合法权益</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5.属于三类内部事务信息</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6.属于四类过程性信息</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7.属于行政执法案卷</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8.属于行政查询事项</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07" w:right="0"/>
              <w:rPr>
                <w:sz w:val="24"/>
                <w:szCs w:val="24"/>
              </w:rPr>
            </w:pPr>
            <w:r>
              <w:rPr>
                <w:rFonts w:hint="eastAsia" w:ascii="楷体" w:hAnsi="楷体" w:eastAsia="楷体" w:cs="楷体"/>
                <w:sz w:val="20"/>
                <w:szCs w:val="20"/>
                <w:bdr w:val="none" w:color="auto" w:sz="0" w:space="0"/>
              </w:rPr>
              <w:t>（四）无法提供</w:t>
            </w: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1.本机关不掌握相关政府信息</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1</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2.没有现成信息需要另行制作</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3.补正后申请内容仍不明确</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07" w:right="0"/>
              <w:rPr>
                <w:sz w:val="24"/>
                <w:szCs w:val="24"/>
              </w:rPr>
            </w:pPr>
            <w:r>
              <w:rPr>
                <w:rFonts w:hint="eastAsia" w:ascii="楷体" w:hAnsi="楷体" w:eastAsia="楷体" w:cs="楷体"/>
                <w:sz w:val="20"/>
                <w:szCs w:val="20"/>
                <w:bdr w:val="none" w:color="auto" w:sz="0" w:space="0"/>
              </w:rPr>
              <w:t>（五）不予处理</w:t>
            </w: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1.信访举报投诉类申请</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2.重复申请</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3.要求提供公开出版物</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4.无正当理由大量反复申请</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5.要求行政机关确认或重新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200"/>
              <w:rPr>
                <w:sz w:val="24"/>
                <w:szCs w:val="24"/>
              </w:rPr>
            </w:pPr>
            <w:r>
              <w:rPr>
                <w:rFonts w:hint="eastAsia" w:ascii="楷体" w:hAnsi="楷体" w:eastAsia="楷体" w:cs="楷体"/>
                <w:sz w:val="20"/>
                <w:szCs w:val="20"/>
                <w:bdr w:val="none" w:color="auto" w:sz="0" w:space="0"/>
              </w:rPr>
              <w:t>出具已获取信息</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2"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restart"/>
            <w:tcBorders>
              <w:top w:val="nil"/>
              <w:left w:val="nil"/>
              <w:bottom w:val="outset"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（六）其他处理</w:t>
            </w: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1.申请人无正当理由逾期不补正、行政机关不再处理其政府信息公开申请</w:t>
            </w:r>
          </w:p>
        </w:tc>
        <w:tc>
          <w:tcPr>
            <w:tcW w:w="842" w:type="dxa"/>
            <w:vMerge w:val="restart"/>
            <w:tcBorders>
              <w:top w:val="nil"/>
              <w:left w:val="nil"/>
              <w:bottom w:val="outset"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vMerge w:val="restart"/>
            <w:tcBorders>
              <w:top w:val="nil"/>
              <w:left w:val="nil"/>
              <w:bottom w:val="outset"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vMerge w:val="restart"/>
            <w:tcBorders>
              <w:top w:val="nil"/>
              <w:left w:val="nil"/>
              <w:bottom w:val="outset"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vMerge w:val="restart"/>
            <w:tcBorders>
              <w:top w:val="nil"/>
              <w:left w:val="nil"/>
              <w:bottom w:val="outset"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vMerge w:val="restart"/>
            <w:tcBorders>
              <w:top w:val="nil"/>
              <w:left w:val="nil"/>
              <w:bottom w:val="outset"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vMerge w:val="restart"/>
            <w:tcBorders>
              <w:top w:val="nil"/>
              <w:left w:val="nil"/>
              <w:bottom w:val="outset"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vMerge w:val="restart"/>
            <w:tcBorders>
              <w:top w:val="nil"/>
              <w:left w:val="nil"/>
              <w:bottom w:val="outset"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2"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continue"/>
            <w:tcBorders>
              <w:top w:val="nil"/>
              <w:left w:val="nil"/>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2.申请人逾期未按收费通知要求缴纳费用，行政机关不再处理其政府信息公开申请</w:t>
            </w:r>
          </w:p>
        </w:tc>
        <w:tc>
          <w:tcPr>
            <w:tcW w:w="842" w:type="dxa"/>
            <w:vMerge w:val="continue"/>
            <w:tcBorders>
              <w:top w:val="nil"/>
              <w:left w:val="nil"/>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562" w:type="dxa"/>
            <w:vMerge w:val="continue"/>
            <w:tcBorders>
              <w:top w:val="nil"/>
              <w:left w:val="nil"/>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562" w:type="dxa"/>
            <w:vMerge w:val="continue"/>
            <w:tcBorders>
              <w:top w:val="nil"/>
              <w:left w:val="nil"/>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562" w:type="dxa"/>
            <w:vMerge w:val="continue"/>
            <w:tcBorders>
              <w:top w:val="nil"/>
              <w:left w:val="nil"/>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562" w:type="dxa"/>
            <w:vMerge w:val="continue"/>
            <w:tcBorders>
              <w:top w:val="nil"/>
              <w:left w:val="nil"/>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536" w:type="dxa"/>
            <w:vMerge w:val="continue"/>
            <w:tcBorders>
              <w:top w:val="nil"/>
              <w:left w:val="nil"/>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31" w:type="dxa"/>
            <w:vMerge w:val="continue"/>
            <w:tcBorders>
              <w:top w:val="nil"/>
              <w:left w:val="nil"/>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2"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405" w:type="dxa"/>
            <w:vMerge w:val="continue"/>
            <w:tcBorders>
              <w:top w:val="nil"/>
              <w:left w:val="nil"/>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7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3.其他</w:t>
            </w:r>
          </w:p>
        </w:tc>
        <w:tc>
          <w:tcPr>
            <w:tcW w:w="842" w:type="dxa"/>
            <w:vMerge w:val="continue"/>
            <w:tcBorders>
              <w:top w:val="nil"/>
              <w:left w:val="nil"/>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562" w:type="dxa"/>
            <w:vMerge w:val="continue"/>
            <w:tcBorders>
              <w:top w:val="nil"/>
              <w:left w:val="nil"/>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562" w:type="dxa"/>
            <w:vMerge w:val="continue"/>
            <w:tcBorders>
              <w:top w:val="nil"/>
              <w:left w:val="nil"/>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562" w:type="dxa"/>
            <w:vMerge w:val="continue"/>
            <w:tcBorders>
              <w:top w:val="nil"/>
              <w:left w:val="nil"/>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562" w:type="dxa"/>
            <w:vMerge w:val="continue"/>
            <w:tcBorders>
              <w:top w:val="nil"/>
              <w:left w:val="nil"/>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536" w:type="dxa"/>
            <w:vMerge w:val="continue"/>
            <w:tcBorders>
              <w:top w:val="nil"/>
              <w:left w:val="nil"/>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31" w:type="dxa"/>
            <w:vMerge w:val="continue"/>
            <w:tcBorders>
              <w:top w:val="nil"/>
              <w:left w:val="nil"/>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atLeast"/>
          <w:jc w:val="center"/>
        </w:trPr>
        <w:tc>
          <w:tcPr>
            <w:tcW w:w="61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198"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楷体" w:hAnsi="楷体" w:eastAsia="楷体" w:cs="楷体"/>
                <w:sz w:val="20"/>
                <w:szCs w:val="20"/>
                <w:bdr w:val="none" w:color="auto" w:sz="0" w:space="0"/>
              </w:rPr>
              <w:t>（七）总计</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2</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814"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宋体" w:hAnsi="宋体" w:eastAsia="宋体" w:cs="宋体"/>
                <w:sz w:val="20"/>
                <w:szCs w:val="20"/>
                <w:bdr w:val="none" w:color="auto" w:sz="0" w:space="0"/>
              </w:rPr>
              <w:t>四、结转下年度继续办理</w:t>
            </w:r>
          </w:p>
        </w:tc>
        <w:tc>
          <w:tcPr>
            <w:tcW w:w="84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6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c>
          <w:tcPr>
            <w:tcW w:w="63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1"/>
                <w:szCs w:val="21"/>
                <w:bdr w:val="none" w:color="auto" w:sz="0" w:space="0"/>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rPr>
        <w:t>四、因政府信息公开工作被申请行政复议、提起行政诉讼情况</w:t>
      </w:r>
    </w:p>
    <w:tbl>
      <w:tblPr>
        <w:tblW w:w="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39"/>
        <w:gridCol w:w="539"/>
        <w:gridCol w:w="539"/>
        <w:gridCol w:w="539"/>
        <w:gridCol w:w="593"/>
        <w:gridCol w:w="541"/>
        <w:gridCol w:w="581"/>
        <w:gridCol w:w="581"/>
        <w:gridCol w:w="581"/>
        <w:gridCol w:w="581"/>
        <w:gridCol w:w="581"/>
        <w:gridCol w:w="581"/>
        <w:gridCol w:w="581"/>
        <w:gridCol w:w="582"/>
        <w:gridCol w:w="58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sz w:val="20"/>
                <w:szCs w:val="20"/>
                <w:bdr w:val="none" w:color="auto" w:sz="0" w:space="0"/>
              </w:rPr>
              <w:t>行政复议</w:t>
            </w:r>
          </w:p>
        </w:tc>
        <w:tc>
          <w:tcPr>
            <w:tcW w:w="5997" w:type="dxa"/>
            <w:gridSpan w:val="10"/>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sz w:val="20"/>
                <w:szCs w:val="20"/>
                <w:bdr w:val="none" w:color="auto" w:sz="0" w:space="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49" w:right="-170"/>
              <w:jc w:val="center"/>
              <w:rPr>
                <w:sz w:val="24"/>
                <w:szCs w:val="24"/>
              </w:rPr>
            </w:pPr>
            <w:r>
              <w:rPr>
                <w:rFonts w:hint="eastAsia" w:ascii="宋体" w:hAnsi="宋体" w:eastAsia="宋体" w:cs="宋体"/>
                <w:sz w:val="20"/>
                <w:szCs w:val="20"/>
                <w:bdr w:val="none" w:color="auto" w:sz="0" w:space="0"/>
              </w:rPr>
              <w:t>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49" w:right="-170"/>
              <w:jc w:val="center"/>
              <w:rPr>
                <w:sz w:val="24"/>
                <w:szCs w:val="24"/>
              </w:rPr>
            </w:pPr>
            <w:r>
              <w:rPr>
                <w:rFonts w:hint="eastAsia" w:ascii="宋体" w:hAnsi="宋体" w:eastAsia="宋体" w:cs="宋体"/>
                <w:sz w:val="20"/>
                <w:szCs w:val="20"/>
                <w:bdr w:val="none" w:color="auto" w:sz="0" w:space="0"/>
              </w:rPr>
              <w:t>维持</w:t>
            </w:r>
          </w:p>
        </w:tc>
        <w:tc>
          <w:tcPr>
            <w:tcW w:w="604"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43" w:right="-132" w:hanging="1"/>
              <w:jc w:val="center"/>
              <w:rPr>
                <w:sz w:val="24"/>
                <w:szCs w:val="24"/>
              </w:rPr>
            </w:pPr>
            <w:r>
              <w:rPr>
                <w:rFonts w:hint="eastAsia" w:ascii="宋体" w:hAnsi="宋体" w:eastAsia="宋体" w:cs="宋体"/>
                <w:sz w:val="20"/>
                <w:szCs w:val="20"/>
                <w:bdr w:val="none" w:color="auto" w:sz="0" w:space="0"/>
              </w:rPr>
              <w:t>结果纠正</w:t>
            </w:r>
          </w:p>
        </w:tc>
        <w:tc>
          <w:tcPr>
            <w:tcW w:w="604"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82" w:right="-97"/>
              <w:jc w:val="center"/>
              <w:rPr>
                <w:sz w:val="24"/>
                <w:szCs w:val="24"/>
              </w:rPr>
            </w:pPr>
            <w:r>
              <w:rPr>
                <w:rFonts w:hint="eastAsia" w:ascii="宋体" w:hAnsi="宋体" w:eastAsia="宋体" w:cs="宋体"/>
                <w:sz w:val="20"/>
                <w:szCs w:val="20"/>
                <w:bdr w:val="none" w:color="auto" w:sz="0" w:space="0"/>
              </w:rPr>
              <w:t>其他结果</w:t>
            </w:r>
          </w:p>
        </w:tc>
        <w:tc>
          <w:tcPr>
            <w:tcW w:w="604"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18" w:right="-118"/>
              <w:jc w:val="center"/>
              <w:rPr>
                <w:sz w:val="24"/>
                <w:szCs w:val="24"/>
              </w:rPr>
            </w:pPr>
            <w:r>
              <w:rPr>
                <w:rFonts w:hint="eastAsia" w:ascii="宋体" w:hAnsi="宋体" w:eastAsia="宋体" w:cs="宋体"/>
                <w:sz w:val="20"/>
                <w:szCs w:val="20"/>
                <w:bdr w:val="none" w:color="auto" w:sz="0" w:space="0"/>
              </w:rPr>
              <w:t>尚未</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18" w:right="-118"/>
              <w:jc w:val="center"/>
              <w:rPr>
                <w:sz w:val="24"/>
                <w:szCs w:val="24"/>
              </w:rPr>
            </w:pPr>
            <w:r>
              <w:rPr>
                <w:rFonts w:hint="eastAsia" w:ascii="宋体" w:hAnsi="宋体" w:eastAsia="宋体" w:cs="宋体"/>
                <w:sz w:val="20"/>
                <w:szCs w:val="20"/>
                <w:bdr w:val="none" w:color="auto" w:sz="0" w:space="0"/>
              </w:rPr>
              <w:t>审结</w:t>
            </w:r>
          </w:p>
        </w:tc>
        <w:tc>
          <w:tcPr>
            <w:tcW w:w="658"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sz w:val="20"/>
                <w:szCs w:val="20"/>
                <w:bdr w:val="none" w:color="auto" w:sz="0" w:space="0"/>
              </w:rPr>
              <w:t>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sz w:val="20"/>
                <w:szCs w:val="20"/>
                <w:bdr w:val="none" w:color="auto" w:sz="0" w:space="0"/>
              </w:rPr>
              <w:t>计</w:t>
            </w:r>
          </w:p>
        </w:tc>
        <w:tc>
          <w:tcPr>
            <w:tcW w:w="2970" w:type="dxa"/>
            <w:gridSpan w:val="5"/>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sz w:val="20"/>
                <w:szCs w:val="20"/>
                <w:bdr w:val="none" w:color="auto" w:sz="0" w:space="0"/>
              </w:rPr>
              <w:t>未经复议直接起诉</w:t>
            </w:r>
          </w:p>
        </w:tc>
        <w:tc>
          <w:tcPr>
            <w:tcW w:w="3027" w:type="dxa"/>
            <w:gridSpan w:val="5"/>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sz w:val="20"/>
                <w:szCs w:val="20"/>
                <w:bdr w:val="none" w:color="auto" w:sz="0" w:space="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0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0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0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5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55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05" w:right="-126"/>
              <w:jc w:val="center"/>
              <w:rPr>
                <w:sz w:val="24"/>
                <w:szCs w:val="24"/>
              </w:rPr>
            </w:pPr>
            <w:r>
              <w:rPr>
                <w:rFonts w:hint="eastAsia" w:ascii="宋体" w:hAnsi="宋体" w:eastAsia="宋体" w:cs="宋体"/>
                <w:sz w:val="20"/>
                <w:szCs w:val="20"/>
                <w:bdr w:val="none" w:color="auto" w:sz="0" w:space="0"/>
              </w:rPr>
              <w:t>结果维持</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86" w:right="-88"/>
              <w:jc w:val="center"/>
              <w:rPr>
                <w:sz w:val="24"/>
                <w:szCs w:val="24"/>
              </w:rPr>
            </w:pPr>
            <w:r>
              <w:rPr>
                <w:rFonts w:hint="eastAsia" w:ascii="宋体" w:hAnsi="宋体" w:eastAsia="宋体" w:cs="宋体"/>
                <w:sz w:val="20"/>
                <w:szCs w:val="20"/>
                <w:bdr w:val="none" w:color="auto" w:sz="0" w:space="0"/>
              </w:rPr>
              <w:t>结果纠正</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26" w:right="-136"/>
              <w:jc w:val="center"/>
              <w:rPr>
                <w:sz w:val="24"/>
                <w:szCs w:val="24"/>
              </w:rPr>
            </w:pPr>
            <w:r>
              <w:rPr>
                <w:rFonts w:hint="eastAsia" w:ascii="宋体" w:hAnsi="宋体" w:eastAsia="宋体" w:cs="宋体"/>
                <w:sz w:val="20"/>
                <w:szCs w:val="20"/>
                <w:bdr w:val="none" w:color="auto" w:sz="0" w:space="0"/>
              </w:rPr>
              <w:t>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26" w:right="-136"/>
              <w:jc w:val="center"/>
              <w:rPr>
                <w:sz w:val="24"/>
                <w:szCs w:val="24"/>
              </w:rPr>
            </w:pPr>
            <w:r>
              <w:rPr>
                <w:rFonts w:hint="eastAsia" w:ascii="宋体" w:hAnsi="宋体" w:eastAsia="宋体" w:cs="宋体"/>
                <w:sz w:val="20"/>
                <w:szCs w:val="20"/>
                <w:bdr w:val="none" w:color="auto" w:sz="0" w:space="0"/>
              </w:rPr>
              <w:t>结果</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64" w:right="-153"/>
              <w:jc w:val="center"/>
              <w:rPr>
                <w:sz w:val="24"/>
                <w:szCs w:val="24"/>
              </w:rPr>
            </w:pPr>
            <w:r>
              <w:rPr>
                <w:rFonts w:hint="eastAsia" w:ascii="宋体" w:hAnsi="宋体" w:eastAsia="宋体" w:cs="宋体"/>
                <w:sz w:val="20"/>
                <w:szCs w:val="20"/>
                <w:bdr w:val="none" w:color="auto" w:sz="0" w:space="0"/>
              </w:rPr>
              <w:t>尚未</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64" w:right="-153"/>
              <w:jc w:val="center"/>
              <w:rPr>
                <w:sz w:val="24"/>
                <w:szCs w:val="24"/>
              </w:rPr>
            </w:pPr>
            <w:r>
              <w:rPr>
                <w:rFonts w:hint="eastAsia" w:ascii="宋体" w:hAnsi="宋体" w:eastAsia="宋体" w:cs="宋体"/>
                <w:sz w:val="20"/>
                <w:szCs w:val="20"/>
                <w:bdr w:val="none" w:color="auto" w:sz="0" w:space="0"/>
              </w:rPr>
              <w:t>审结</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sz w:val="20"/>
                <w:szCs w:val="20"/>
                <w:bdr w:val="none" w:color="auto" w:sz="0" w:space="0"/>
              </w:rPr>
              <w:t>总计</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99" w:right="-78"/>
              <w:jc w:val="center"/>
              <w:rPr>
                <w:sz w:val="24"/>
                <w:szCs w:val="24"/>
              </w:rPr>
            </w:pPr>
            <w:r>
              <w:rPr>
                <w:rFonts w:hint="eastAsia" w:ascii="宋体" w:hAnsi="宋体" w:eastAsia="宋体" w:cs="宋体"/>
                <w:sz w:val="20"/>
                <w:szCs w:val="20"/>
                <w:bdr w:val="none" w:color="auto" w:sz="0" w:space="0"/>
              </w:rPr>
              <w:t>结果维持</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36" w:right="-124"/>
              <w:jc w:val="center"/>
              <w:rPr>
                <w:sz w:val="24"/>
                <w:szCs w:val="24"/>
              </w:rPr>
            </w:pPr>
            <w:r>
              <w:rPr>
                <w:rFonts w:hint="eastAsia" w:ascii="宋体" w:hAnsi="宋体" w:eastAsia="宋体" w:cs="宋体"/>
                <w:sz w:val="20"/>
                <w:szCs w:val="20"/>
                <w:bdr w:val="none" w:color="auto" w:sz="0" w:space="0"/>
              </w:rPr>
              <w:t>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36" w:right="-124"/>
              <w:jc w:val="center"/>
              <w:rPr>
                <w:sz w:val="24"/>
                <w:szCs w:val="24"/>
              </w:rPr>
            </w:pPr>
            <w:r>
              <w:rPr>
                <w:rFonts w:hint="eastAsia" w:ascii="宋体" w:hAnsi="宋体" w:eastAsia="宋体" w:cs="宋体"/>
                <w:sz w:val="20"/>
                <w:szCs w:val="20"/>
                <w:bdr w:val="none" w:color="auto" w:sz="0" w:space="0"/>
              </w:rPr>
              <w:t>纠正</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73" w:right="-134" w:hanging="1"/>
              <w:jc w:val="center"/>
              <w:rPr>
                <w:sz w:val="24"/>
                <w:szCs w:val="24"/>
              </w:rPr>
            </w:pPr>
            <w:r>
              <w:rPr>
                <w:rFonts w:hint="eastAsia" w:ascii="宋体" w:hAnsi="宋体" w:eastAsia="宋体" w:cs="宋体"/>
                <w:sz w:val="20"/>
                <w:szCs w:val="20"/>
                <w:bdr w:val="none" w:color="auto" w:sz="0" w:space="0"/>
              </w:rPr>
              <w:t>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73" w:right="-134" w:hanging="1"/>
              <w:jc w:val="center"/>
              <w:rPr>
                <w:sz w:val="24"/>
                <w:szCs w:val="24"/>
              </w:rPr>
            </w:pPr>
            <w:r>
              <w:rPr>
                <w:rFonts w:hint="eastAsia" w:ascii="宋体" w:hAnsi="宋体" w:eastAsia="宋体" w:cs="宋体"/>
                <w:sz w:val="20"/>
                <w:szCs w:val="20"/>
                <w:bdr w:val="none" w:color="auto" w:sz="0" w:space="0"/>
              </w:rPr>
              <w:t>结果</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67" w:right="-105" w:hanging="2"/>
              <w:jc w:val="center"/>
              <w:rPr>
                <w:sz w:val="24"/>
                <w:szCs w:val="24"/>
              </w:rPr>
            </w:pPr>
            <w:r>
              <w:rPr>
                <w:rFonts w:hint="eastAsia" w:ascii="宋体" w:hAnsi="宋体" w:eastAsia="宋体" w:cs="宋体"/>
                <w:sz w:val="20"/>
                <w:szCs w:val="20"/>
                <w:bdr w:val="none" w:color="auto" w:sz="0" w:space="0"/>
              </w:rPr>
              <w:t>尚未审结</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宋体" w:hAnsi="宋体" w:eastAsia="宋体" w:cs="宋体"/>
                <w:sz w:val="20"/>
                <w:szCs w:val="20"/>
                <w:bdr w:val="none" w:color="auto" w:sz="0" w:space="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0"/>
                <w:szCs w:val="20"/>
                <w:bdr w:val="none" w:color="auto" w:sz="0" w:space="0"/>
              </w:rPr>
              <w:t>0</w:t>
            </w:r>
            <w:r>
              <w:rPr>
                <w:rFonts w:ascii="Calibri" w:hAnsi="Calibri" w:cs="Calibri"/>
                <w:sz w:val="20"/>
                <w:szCs w:val="20"/>
                <w:bdr w:val="none" w:color="auto" w:sz="0" w:space="0"/>
              </w:rPr>
              <w:t> </w:t>
            </w:r>
          </w:p>
        </w:tc>
        <w:tc>
          <w:tcPr>
            <w:tcW w:w="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default" w:ascii="Calibri" w:hAnsi="Calibri" w:cs="Calibri"/>
                <w:sz w:val="20"/>
                <w:szCs w:val="20"/>
                <w:bdr w:val="none" w:color="auto" w:sz="0" w:space="0"/>
              </w:rPr>
              <w:t> </w:t>
            </w:r>
            <w:r>
              <w:rPr>
                <w:rFonts w:hint="eastAsia" w:ascii="宋体" w:hAnsi="宋体" w:eastAsia="宋体" w:cs="宋体"/>
                <w:sz w:val="20"/>
                <w:szCs w:val="20"/>
                <w:bdr w:val="none" w:color="auto" w:sz="0" w:space="0"/>
              </w:rPr>
              <w:t>0</w:t>
            </w:r>
          </w:p>
        </w:tc>
        <w:tc>
          <w:tcPr>
            <w:tcW w:w="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0"/>
                <w:szCs w:val="20"/>
                <w:bdr w:val="none" w:color="auto" w:sz="0" w:space="0"/>
              </w:rPr>
              <w:t>0</w:t>
            </w:r>
            <w:r>
              <w:rPr>
                <w:rFonts w:hint="default" w:ascii="Calibri" w:hAnsi="Calibri" w:cs="Calibri"/>
                <w:sz w:val="20"/>
                <w:szCs w:val="20"/>
                <w:bdr w:val="none" w:color="auto" w:sz="0" w:space="0"/>
              </w:rPr>
              <w:t> </w:t>
            </w:r>
          </w:p>
        </w:tc>
        <w:tc>
          <w:tcPr>
            <w:tcW w:w="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default" w:ascii="Calibri" w:hAnsi="Calibri" w:cs="Calibri"/>
                <w:sz w:val="20"/>
                <w:szCs w:val="20"/>
                <w:bdr w:val="none" w:color="auto" w:sz="0" w:space="0"/>
              </w:rPr>
              <w:t> </w:t>
            </w:r>
            <w:r>
              <w:rPr>
                <w:rFonts w:hint="eastAsia" w:ascii="宋体" w:hAnsi="宋体" w:eastAsia="宋体" w:cs="宋体"/>
                <w:sz w:val="20"/>
                <w:szCs w:val="20"/>
                <w:bdr w:val="none" w:color="auto" w:sz="0" w:space="0"/>
              </w:rPr>
              <w:t>0</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0"/>
                <w:szCs w:val="20"/>
                <w:bdr w:val="none" w:color="auto" w:sz="0" w:space="0"/>
              </w:rPr>
              <w:t>0</w:t>
            </w:r>
            <w:r>
              <w:rPr>
                <w:rFonts w:hint="default" w:ascii="Calibri" w:hAnsi="Calibri" w:cs="Calibri"/>
                <w:sz w:val="20"/>
                <w:szCs w:val="20"/>
                <w:bdr w:val="none" w:color="auto" w:sz="0" w:space="0"/>
              </w:rPr>
              <w:t> </w:t>
            </w:r>
          </w:p>
        </w:tc>
        <w:tc>
          <w:tcPr>
            <w:tcW w:w="55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0"/>
                <w:szCs w:val="20"/>
                <w:bdr w:val="none" w:color="auto" w:sz="0" w:space="0"/>
              </w:rPr>
              <w:t> 0</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0"/>
                <w:szCs w:val="20"/>
                <w:bdr w:val="none" w:color="auto" w:sz="0" w:space="0"/>
              </w:rPr>
              <w:t> 0</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0"/>
                <w:szCs w:val="20"/>
                <w:bdr w:val="none" w:color="auto" w:sz="0" w:space="0"/>
              </w:rPr>
              <w:t> 0</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0"/>
                <w:szCs w:val="20"/>
                <w:bdr w:val="none" w:color="auto" w:sz="0" w:space="0"/>
              </w:rPr>
              <w:t>0 </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0"/>
                <w:szCs w:val="20"/>
                <w:bdr w:val="none" w:color="auto" w:sz="0" w:space="0"/>
              </w:rPr>
              <w:t> 0</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0"/>
                <w:szCs w:val="20"/>
                <w:bdr w:val="none" w:color="auto" w:sz="0" w:space="0"/>
              </w:rPr>
              <w:t> 0</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0"/>
                <w:szCs w:val="20"/>
                <w:bdr w:val="none" w:color="auto" w:sz="0" w:space="0"/>
              </w:rPr>
              <w:t> 0</w:t>
            </w:r>
          </w:p>
        </w:tc>
        <w:tc>
          <w:tcPr>
            <w:tcW w:w="6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0"/>
                <w:szCs w:val="20"/>
                <w:bdr w:val="none" w:color="auto" w:sz="0" w:space="0"/>
              </w:rPr>
              <w:t> 0</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560" w:lineRule="atLeast"/>
              <w:ind w:left="0" w:right="0"/>
              <w:jc w:val="center"/>
              <w:rPr>
                <w:sz w:val="24"/>
                <w:szCs w:val="24"/>
              </w:rPr>
            </w:pPr>
            <w:r>
              <w:rPr>
                <w:rFonts w:hint="eastAsia" w:ascii="宋体" w:hAnsi="宋体" w:eastAsia="宋体" w:cs="宋体"/>
                <w:sz w:val="20"/>
                <w:szCs w:val="20"/>
                <w:bdr w:val="none" w:color="auto" w:sz="0" w:space="0"/>
              </w:rPr>
              <w:t> 0</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rPr>
                <w:sz w:val="24"/>
                <w:szCs w:val="24"/>
              </w:rPr>
            </w:pPr>
            <w:r>
              <w:rPr>
                <w:rFonts w:hint="eastAsia" w:ascii="宋体" w:hAnsi="宋体" w:eastAsia="宋体" w:cs="宋体"/>
                <w:sz w:val="20"/>
                <w:szCs w:val="20"/>
                <w:bdr w:val="none" w:color="auto" w:sz="0" w:space="0"/>
              </w:rPr>
              <w:t> 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rPr>
        <w:t>五、政府信息公开存在的主要问题及改进情况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ascii="楷体_GB2312" w:hAnsi="微软雅黑" w:eastAsia="楷体_GB2312" w:cs="楷体_GB2312"/>
          <w:i w:val="0"/>
          <w:iCs w:val="0"/>
          <w:caps w:val="0"/>
          <w:color w:val="000000"/>
          <w:spacing w:val="0"/>
          <w:sz w:val="32"/>
          <w:szCs w:val="32"/>
          <w:bdr w:val="none" w:color="auto" w:sz="0" w:space="0"/>
        </w:rPr>
        <w:t>（一）存在的主要问题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bdr w:val="none" w:color="auto" w:sz="0" w:space="0"/>
        </w:rPr>
        <w:t>1.依法主动公开意识有待进一步增强。少数干部职工对政府信息公开工作的重要性认识依然不足，怕公开、烦公开等惯性倾向依然存在，影响政务公开工作的落实。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bdr w:val="none" w:color="auto" w:sz="0" w:space="0"/>
        </w:rPr>
        <w:t>2.信息公开工作质量还需进一步提高。虽然取得了一些进步，但是距离社会公众的愿望还存在较大的差距。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bdr w:val="none" w:color="auto" w:sz="0" w:space="0"/>
        </w:rPr>
        <w:t>3.政务公开平台信息发布人员对业务知识掌握不够熟练，不能够及时准确的反映政务公开相关工作。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楷体_GB2312" w:hAnsi="微软雅黑" w:eastAsia="楷体_GB2312" w:cs="楷体_GB2312"/>
          <w:i w:val="0"/>
          <w:iCs w:val="0"/>
          <w:caps w:val="0"/>
          <w:color w:val="000000"/>
          <w:spacing w:val="0"/>
          <w:sz w:val="32"/>
          <w:szCs w:val="32"/>
          <w:bdr w:val="none" w:color="auto" w:sz="0" w:space="0"/>
        </w:rPr>
        <w:t>（二）针对存在问题改进情况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bdr w:val="none" w:color="auto" w:sz="0" w:space="0"/>
        </w:rPr>
        <w:t>1.加强培训，广泛宣传，提高依法主动公开的意识。组织广大领导干部参加培训。重点学习《中华人民共和国政府信息公开条例》等有关政务公开的相关法律法规，增强主动公开的意识和能力。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bdr w:val="none" w:color="auto" w:sz="0" w:space="0"/>
        </w:rPr>
        <w:t>2.对政府信息公开网站进行优化，进一步从公众视角出发，优化政务公开的路径与方式。加大公开力度，切实保障人民群众的知情权、参与权、表达权和监督权，使政务公开提升到一个新的水平。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bdr w:val="none" w:color="auto" w:sz="0" w:space="0"/>
        </w:rPr>
        <w:t>3.加强对政务公开信息发布人员的培训，培养政务公开信息发布人员学习的主动性和自觉性，从而熟练掌握好平台的使用，不断提高业务能力和业务水平。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rPr>
        <w:t>六、其他需要报告事项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bdr w:val="none" w:color="auto" w:sz="0" w:space="0"/>
        </w:rPr>
        <w:t>1.依据《政府信息公开信息处理费管理办法》规定，和平街道办事处从未收取信息处理费。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bdr w:val="none" w:color="auto" w:sz="0" w:space="0"/>
        </w:rPr>
        <w:t>2.严格落实上级年度政务公开工作要点，制定了《和平街道办事处政务公开工作任务清单》，夯实了政务公开工作基础，全面公开了重点领域信息，提高了政策解读质量，强化了公众参与、工作监督和工作保障。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sz w:val="32"/>
          <w:szCs w:val="32"/>
          <w:bdr w:val="none" w:color="auto" w:sz="0" w:space="0"/>
        </w:rPr>
        <w:t>3.2021年收到人大代表建议0件，政协委员提案3件，主要涉及老年人健康、住建等社会民生热点问题，均已解决采纳。</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053772"/>
    <w:rsid w:val="108160EB"/>
    <w:rsid w:val="2D085772"/>
    <w:rsid w:val="464B1B2F"/>
    <w:rsid w:val="49996437"/>
    <w:rsid w:val="67A535E2"/>
    <w:rsid w:val="694330B3"/>
    <w:rsid w:val="7B5A6766"/>
    <w:rsid w:val="7D6A1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2625</Words>
  <Characters>2759</Characters>
  <Lines>0</Lines>
  <Paragraphs>0</Paragraphs>
  <TotalTime>23</TotalTime>
  <ScaleCrop>false</ScaleCrop>
  <LinksUpToDate>false</LinksUpToDate>
  <CharactersWithSpaces>2781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2022-04-08T06:40:35Z</dcterms:created>
  <dc:creator>info</dc:creator>
  <cp:lastModifiedBy>WPS_1644907779</cp:lastModifiedBy>
  <dcterms:modified xsi:type="dcterms:W3CDTF">2022-04-08T07:04:10Z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CF08748A6F364FBC9BAE57B069C31229</vt:lpwstr>
  </property>
</Properties>
</file>