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b w:val="0"/>
          <w:i w:val="0"/>
          <w:caps w:val="0"/>
          <w:color w:val="000000"/>
          <w:spacing w:val="0"/>
          <w:sz w:val="44"/>
          <w:szCs w:val="44"/>
          <w:shd w:val="clear" w:fill="FFFFFF"/>
          <w:lang w:val="en-US" w:eastAsia="zh-CN"/>
        </w:rPr>
      </w:pPr>
      <w:r>
        <w:rPr>
          <w:rFonts w:hint="eastAsia" w:ascii="方正小标宋简体" w:hAnsi="方正小标宋简体" w:eastAsia="方正小标宋简体" w:cs="方正小标宋简体"/>
          <w:b w:val="0"/>
          <w:i w:val="0"/>
          <w:caps w:val="0"/>
          <w:color w:val="000000"/>
          <w:spacing w:val="0"/>
          <w:sz w:val="44"/>
          <w:szCs w:val="44"/>
          <w:shd w:val="clear" w:fill="FFFFFF"/>
          <w:lang w:val="en-US" w:eastAsia="zh-CN"/>
        </w:rPr>
        <w:t>张店区会展管理办公室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b w:val="0"/>
          <w:i w:val="0"/>
          <w:caps w:val="0"/>
          <w:color w:val="000000"/>
          <w:spacing w:val="0"/>
          <w:sz w:val="44"/>
          <w:szCs w:val="44"/>
          <w:shd w:val="clear" w:fill="FFFFFF"/>
          <w:lang w:val="en-US" w:eastAsia="zh-CN"/>
        </w:rPr>
      </w:pPr>
      <w:r>
        <w:rPr>
          <w:rFonts w:hint="eastAsia" w:ascii="方正小标宋简体" w:hAnsi="方正小标宋简体" w:eastAsia="方正小标宋简体" w:cs="方正小标宋简体"/>
          <w:b w:val="0"/>
          <w:i w:val="0"/>
          <w:caps w:val="0"/>
          <w:color w:val="000000"/>
          <w:spacing w:val="0"/>
          <w:sz w:val="44"/>
          <w:szCs w:val="44"/>
          <w:shd w:val="clear" w:fill="FFFFFF"/>
          <w:lang w:val="en-US" w:eastAsia="zh-CN"/>
        </w:rPr>
        <w:t>2020年政府信息公开工作年度报告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b w:val="0"/>
          <w:i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ascii="仿宋_GB2312" w:hAnsi="仿宋_GB2312" w:eastAsia="仿宋_GB2312" w:cs="仿宋_GB2312"/>
          <w:b w:val="0"/>
          <w:i w:val="0"/>
          <w:caps w:val="0"/>
          <w:color w:val="000000"/>
          <w:spacing w:val="0"/>
          <w:sz w:val="32"/>
          <w:szCs w:val="32"/>
          <w:shd w:val="clear" w:fill="FFFFFF"/>
        </w:rPr>
        <w:t>根据《中华人民共和国政府信息公开条例》及《国务院办公厅政府信息与政务公开办公室关于政府信息公开工作年度报告有关事项的通知》（国办公开办函〔2019〕60号）的要求，我办结合工作实际，编制了张店区</w:t>
      </w:r>
      <w:r>
        <w:rPr>
          <w:rFonts w:hint="eastAsia" w:ascii="仿宋_GB2312" w:hAnsi="仿宋_GB2312" w:eastAsia="仿宋_GB2312" w:cs="仿宋_GB2312"/>
          <w:b w:val="0"/>
          <w:i w:val="0"/>
          <w:caps w:val="0"/>
          <w:color w:val="000000"/>
          <w:spacing w:val="0"/>
          <w:sz w:val="32"/>
          <w:szCs w:val="32"/>
          <w:shd w:val="clear" w:fill="FFFFFF"/>
          <w:lang w:val="en-US" w:eastAsia="zh-CN"/>
        </w:rPr>
        <w:t>会展管理办公室</w:t>
      </w:r>
      <w:r>
        <w:rPr>
          <w:rFonts w:ascii="仿宋_GB2312" w:hAnsi="仿宋_GB2312" w:eastAsia="仿宋_GB2312" w:cs="仿宋_GB2312"/>
          <w:b w:val="0"/>
          <w:i w:val="0"/>
          <w:caps w:val="0"/>
          <w:color w:val="000000"/>
          <w:spacing w:val="0"/>
          <w:sz w:val="32"/>
          <w:szCs w:val="32"/>
          <w:shd w:val="clear" w:fill="FFFFFF"/>
        </w:rPr>
        <w:t>20</w:t>
      </w:r>
      <w:r>
        <w:rPr>
          <w:rFonts w:hint="eastAsia" w:ascii="仿宋_GB2312" w:hAnsi="仿宋_GB2312" w:eastAsia="仿宋_GB2312" w:cs="仿宋_GB2312"/>
          <w:b w:val="0"/>
          <w:i w:val="0"/>
          <w:caps w:val="0"/>
          <w:color w:val="000000"/>
          <w:spacing w:val="0"/>
          <w:sz w:val="32"/>
          <w:szCs w:val="32"/>
          <w:shd w:val="clear" w:fill="FFFFFF"/>
          <w:lang w:val="en-US" w:eastAsia="zh-CN"/>
        </w:rPr>
        <w:t>20</w:t>
      </w:r>
      <w:r>
        <w:rPr>
          <w:rFonts w:ascii="仿宋_GB2312" w:hAnsi="仿宋_GB2312" w:eastAsia="仿宋_GB2312" w:cs="仿宋_GB2312"/>
          <w:b w:val="0"/>
          <w:i w:val="0"/>
          <w:caps w:val="0"/>
          <w:color w:val="000000"/>
          <w:spacing w:val="0"/>
          <w:sz w:val="32"/>
          <w:szCs w:val="32"/>
          <w:shd w:val="clear" w:fill="FFFFFF"/>
        </w:rPr>
        <w:t>年政府信息公开工作报告，特向社会公布。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ascii="仿宋_GB2312" w:hAnsi="仿宋_GB2312" w:eastAsia="仿宋_GB2312" w:cs="仿宋_GB2312"/>
          <w:b w:val="0"/>
          <w:i w:val="0"/>
          <w:caps w:val="0"/>
          <w:color w:val="000000"/>
          <w:spacing w:val="0"/>
          <w:sz w:val="32"/>
          <w:szCs w:val="32"/>
          <w:shd w:val="clear" w:fill="FFFFFF"/>
        </w:rPr>
        <w:t>本报告中所列数据的统计期限自20</w:t>
      </w:r>
      <w:r>
        <w:rPr>
          <w:rFonts w:hint="eastAsia" w:ascii="仿宋_GB2312" w:hAnsi="仿宋_GB2312" w:eastAsia="仿宋_GB2312" w:cs="仿宋_GB2312"/>
          <w:b w:val="0"/>
          <w:i w:val="0"/>
          <w:caps w:val="0"/>
          <w:color w:val="000000"/>
          <w:spacing w:val="0"/>
          <w:sz w:val="32"/>
          <w:szCs w:val="32"/>
          <w:shd w:val="clear" w:fill="FFFFFF"/>
          <w:lang w:val="en-US" w:eastAsia="zh-CN"/>
        </w:rPr>
        <w:t>20</w:t>
      </w:r>
      <w:r>
        <w:rPr>
          <w:rFonts w:ascii="仿宋_GB2312" w:hAnsi="仿宋_GB2312" w:eastAsia="仿宋_GB2312" w:cs="仿宋_GB2312"/>
          <w:b w:val="0"/>
          <w:i w:val="0"/>
          <w:caps w:val="0"/>
          <w:color w:val="000000"/>
          <w:spacing w:val="0"/>
          <w:sz w:val="32"/>
          <w:szCs w:val="32"/>
          <w:shd w:val="clear" w:fill="FFFFFF"/>
        </w:rPr>
        <w:t>年1月1日起至20</w:t>
      </w:r>
      <w:r>
        <w:rPr>
          <w:rFonts w:hint="eastAsia" w:ascii="仿宋_GB2312" w:hAnsi="仿宋_GB2312" w:eastAsia="仿宋_GB2312" w:cs="仿宋_GB2312"/>
          <w:b w:val="0"/>
          <w:i w:val="0"/>
          <w:caps w:val="0"/>
          <w:color w:val="000000"/>
          <w:spacing w:val="0"/>
          <w:sz w:val="32"/>
          <w:szCs w:val="32"/>
          <w:shd w:val="clear" w:fill="FFFFFF"/>
          <w:lang w:val="en-US" w:eastAsia="zh-CN"/>
        </w:rPr>
        <w:t>20</w:t>
      </w:r>
      <w:r>
        <w:rPr>
          <w:rFonts w:ascii="仿宋_GB2312" w:hAnsi="仿宋_GB2312" w:eastAsia="仿宋_GB2312" w:cs="仿宋_GB2312"/>
          <w:b w:val="0"/>
          <w:i w:val="0"/>
          <w:caps w:val="0"/>
          <w:color w:val="000000"/>
          <w:spacing w:val="0"/>
          <w:sz w:val="32"/>
          <w:szCs w:val="32"/>
          <w:shd w:val="clear" w:fill="FFFFFF"/>
        </w:rPr>
        <w:t>年12月31日止。如对本报告有任何疑问，请与</w:t>
      </w:r>
      <w:r>
        <w:rPr>
          <w:rFonts w:ascii="仿宋_GB2312" w:hAnsi="仿宋_GB2312" w:eastAsia="仿宋_GB2312" w:cs="仿宋_GB2312"/>
          <w:i w:val="0"/>
          <w:caps w:val="0"/>
          <w:color w:val="000000"/>
          <w:spacing w:val="0"/>
          <w:sz w:val="32"/>
          <w:szCs w:val="32"/>
          <w:shd w:val="clear" w:fill="FFFFFF"/>
        </w:rPr>
        <w:t>张店区会展管理办公室综合科联系（地址：张店区</w:t>
      </w:r>
      <w:r>
        <w:rPr>
          <w:rFonts w:hint="eastAsia" w:ascii="仿宋_GB2312" w:hAnsi="仿宋_GB2312" w:eastAsia="仿宋_GB2312" w:cs="仿宋_GB2312"/>
          <w:i w:val="0"/>
          <w:caps w:val="0"/>
          <w:color w:val="000000"/>
          <w:spacing w:val="0"/>
          <w:sz w:val="32"/>
          <w:szCs w:val="32"/>
          <w:shd w:val="clear" w:fill="FFFFFF"/>
          <w:lang w:val="en-US" w:eastAsia="zh-CN"/>
        </w:rPr>
        <w:t>新村</w:t>
      </w:r>
      <w:r>
        <w:rPr>
          <w:rFonts w:ascii="仿宋_GB2312" w:hAnsi="仿宋_GB2312" w:eastAsia="仿宋_GB2312" w:cs="仿宋_GB2312"/>
          <w:i w:val="0"/>
          <w:caps w:val="0"/>
          <w:color w:val="000000"/>
          <w:spacing w:val="0"/>
          <w:sz w:val="32"/>
          <w:szCs w:val="32"/>
          <w:shd w:val="clear" w:fill="FFFFFF"/>
        </w:rPr>
        <w:t>西路</w:t>
      </w:r>
      <w:r>
        <w:rPr>
          <w:rFonts w:hint="eastAsia" w:ascii="仿宋_GB2312" w:hAnsi="仿宋_GB2312" w:eastAsia="仿宋_GB2312" w:cs="仿宋_GB2312"/>
          <w:i w:val="0"/>
          <w:caps w:val="0"/>
          <w:color w:val="000000"/>
          <w:spacing w:val="0"/>
          <w:sz w:val="32"/>
          <w:szCs w:val="32"/>
          <w:shd w:val="clear" w:fill="FFFFFF"/>
          <w:lang w:val="en-US" w:eastAsia="zh-CN"/>
        </w:rPr>
        <w:t>266</w:t>
      </w:r>
      <w:r>
        <w:rPr>
          <w:rFonts w:ascii="仿宋_GB2312" w:hAnsi="仿宋_GB2312" w:eastAsia="仿宋_GB2312" w:cs="仿宋_GB2312"/>
          <w:i w:val="0"/>
          <w:caps w:val="0"/>
          <w:color w:val="000000"/>
          <w:spacing w:val="0"/>
          <w:sz w:val="32"/>
          <w:szCs w:val="32"/>
          <w:shd w:val="clear" w:fill="FFFFFF"/>
        </w:rPr>
        <w:t>号</w:t>
      </w:r>
      <w:r>
        <w:rPr>
          <w:rFonts w:hint="eastAsia" w:ascii="仿宋_GB2312" w:hAnsi="仿宋_GB2312" w:eastAsia="仿宋_GB2312" w:cs="仿宋_GB2312"/>
          <w:i w:val="0"/>
          <w:caps w:val="0"/>
          <w:color w:val="000000"/>
          <w:spacing w:val="0"/>
          <w:sz w:val="32"/>
          <w:szCs w:val="32"/>
          <w:shd w:val="clear" w:fill="FFFFFF"/>
          <w:lang w:val="en-US" w:eastAsia="zh-CN"/>
        </w:rPr>
        <w:t>世源大厦13楼1311室</w:t>
      </w:r>
      <w:r>
        <w:rPr>
          <w:rFonts w:ascii="仿宋_GB2312" w:hAnsi="仿宋_GB2312" w:eastAsia="仿宋_GB2312" w:cs="仿宋_GB2312"/>
          <w:i w:val="0"/>
          <w:caps w:val="0"/>
          <w:color w:val="000000"/>
          <w:spacing w:val="0"/>
          <w:sz w:val="32"/>
          <w:szCs w:val="32"/>
          <w:shd w:val="clear" w:fill="FFFFFF"/>
        </w:rPr>
        <w:t>；邮编：255000；电话：0533-2858399;电子邮箱：zdqhzglbgs@zb.shandong.cn），联系人：翟羽佳。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ascii="黑体" w:hAnsi="宋体" w:eastAsia="黑体" w:cs="黑体"/>
          <w:i w:val="0"/>
          <w:caps w:val="0"/>
          <w:color w:val="000000"/>
          <w:spacing w:val="0"/>
          <w:sz w:val="32"/>
          <w:szCs w:val="32"/>
          <w:shd w:val="clear" w:fill="FFFFFF"/>
        </w:rPr>
        <w:t>一、总体情况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b w:val="0"/>
          <w:i w:val="0"/>
          <w:caps w:val="0"/>
          <w:color w:val="0000FF"/>
          <w:spacing w:val="0"/>
          <w:sz w:val="32"/>
          <w:szCs w:val="32"/>
          <w:shd w:val="clear" w:fill="FFFFFF"/>
        </w:rPr>
      </w:pP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20</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20</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年我办严格按照《中华人民共和国政府信息公开条例》、《国务院办公厅关于实施中华人民共和国政府信息公开条例若干问题的意见》和省市区有关文件的规定，</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进一步加强</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组织领导、完善</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制度建设</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提升工作水平、创新工作形式</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政务公开工作</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取得了新的进展，信息发布机制不断健全，信息公开</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质量不断提升</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1.</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加强组织领导。按照“主要领导亲自抓，分管领导具体抓，专门机构抓落实”原则，由党委书记、主任任组长，分管领导任副组长，综合科具体负责，</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会展三科协助参与，</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切实把政府信息公开、网站管理</w:t>
      </w:r>
      <w:r>
        <w:rPr>
          <w:rFonts w:hint="eastAsia" w:ascii="仿宋_GB2312" w:hAnsi="仿宋_GB2312" w:eastAsia="仿宋_GB2312" w:cs="仿宋_GB2312"/>
          <w:b w:val="0"/>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微信公众号信息发布</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各项工作落到实处。</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2.完善制度建设。</w:t>
      </w:r>
      <w:r>
        <w:rPr>
          <w:rFonts w:hint="eastAsia"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坚持“以公开为常态、不公开为例外”的原则，加大对非涉密政府信息公开力度，对政务信息管理、政务信息公开等工作事项进行了规范整理，确保了政府信息公开工作流程标准、责权清晰，为信息公开工作提供了明确的制度保障。</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3.提升工作水平。加强政务公开工作培训，梳理主动公开目录，在2020首届淄博青岛啤酒节等大型展会期间，</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通过网站、公开栏、广播、电视、报纸等形式，主动向社会公开</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展会信息</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。截至20</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20</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年底，全办政府信息公开工作运行正常，全年无重大信息安全责任事故，电子政务工作成绩显著。</w:t>
      </w:r>
      <w:r>
        <w:rPr>
          <w:rFonts w:hint="eastAsia" w:ascii="仿宋_GB2312" w:hAnsi="仿宋_GB2312" w:eastAsia="仿宋_GB2312" w:cs="仿宋_GB2312"/>
          <w:b w:val="0"/>
          <w:i w:val="0"/>
          <w:caps w:val="0"/>
          <w:color w:val="000000" w:themeColor="text1"/>
          <w:spacing w:val="0"/>
          <w:sz w:val="32"/>
          <w:szCs w:val="32"/>
          <w:shd w:val="clear" w:fill="FFFFFF"/>
          <w:lang w:val="en-US" w:eastAsia="zh-CN"/>
          <w14:textFill>
            <w14:solidFill>
              <w14:schemeClr w14:val="tx1"/>
            </w14:solidFill>
          </w14:textFill>
        </w:rPr>
        <w:t>4.创新工作形式</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通过“淄博会展”微信公众平台及时推介各地展会资源，大力推动展会信息化建设，打造网上张店会展</w:t>
      </w:r>
      <w:r>
        <w:rPr>
          <w:rFonts w:ascii="仿宋_GB2312" w:hAnsi="仿宋_GB2312" w:eastAsia="仿宋_GB2312" w:cs="仿宋_GB2312"/>
          <w:b w:val="0"/>
          <w:i w:val="0"/>
          <w:caps w:val="0"/>
          <w:color w:val="000000" w:themeColor="text1"/>
          <w:spacing w:val="0"/>
          <w:sz w:val="32"/>
          <w:szCs w:val="32"/>
          <w:shd w:val="clear" w:fill="FFFFFF"/>
          <w14:textFill>
            <w14:solidFill>
              <w14:schemeClr w14:val="tx1"/>
            </w14:solidFill>
          </w14:textFill>
        </w:rPr>
        <w:t>，加大会展工作的透明度和社会知晓率，进一步提高了信息公开的质量和效果。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hint="eastAsia" w:ascii="黑体" w:hAnsi="宋体" w:eastAsia="黑体" w:cs="黑体"/>
          <w:i w:val="0"/>
          <w:caps w:val="0"/>
          <w:color w:val="000000"/>
          <w:spacing w:val="0"/>
          <w:sz w:val="32"/>
          <w:szCs w:val="32"/>
          <w:shd w:val="clear" w:fill="FFFFFF"/>
        </w:rPr>
        <w:t>二、主动公开政府信息的情况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b w:val="0"/>
          <w:i w:val="0"/>
          <w:caps w:val="0"/>
          <w:color w:val="000000"/>
          <w:spacing w:val="0"/>
          <w:sz w:val="32"/>
          <w:szCs w:val="32"/>
          <w:shd w:val="clear" w:fill="FFFFFF"/>
        </w:rPr>
      </w:pPr>
      <w:r>
        <w:rPr>
          <w:rFonts w:hint="eastAsia" w:ascii="仿宋_GB2312" w:hAnsi="仿宋_GB2312" w:eastAsia="仿宋_GB2312" w:cs="仿宋_GB2312"/>
          <w:b w:val="0"/>
          <w:i w:val="0"/>
          <w:caps w:val="0"/>
          <w:color w:val="000000"/>
          <w:spacing w:val="0"/>
          <w:sz w:val="32"/>
          <w:szCs w:val="32"/>
          <w:shd w:val="clear" w:fill="FFFFFF"/>
        </w:rPr>
        <w:t>20</w:t>
      </w:r>
      <w:r>
        <w:rPr>
          <w:rFonts w:hint="eastAsia" w:ascii="仿宋_GB2312" w:hAnsi="仿宋_GB2312" w:eastAsia="仿宋_GB2312" w:cs="仿宋_GB2312"/>
          <w:b w:val="0"/>
          <w:i w:val="0"/>
          <w:caps w:val="0"/>
          <w:color w:val="000000"/>
          <w:spacing w:val="0"/>
          <w:sz w:val="32"/>
          <w:szCs w:val="32"/>
          <w:shd w:val="clear" w:fill="FFFFFF"/>
          <w:lang w:val="en-US" w:eastAsia="zh-CN"/>
        </w:rPr>
        <w:t>20</w:t>
      </w:r>
      <w:r>
        <w:rPr>
          <w:rFonts w:hint="eastAsia" w:ascii="仿宋_GB2312" w:hAnsi="仿宋_GB2312" w:eastAsia="仿宋_GB2312" w:cs="仿宋_GB2312"/>
          <w:b w:val="0"/>
          <w:i w:val="0"/>
          <w:caps w:val="0"/>
          <w:color w:val="000000"/>
          <w:spacing w:val="0"/>
          <w:sz w:val="32"/>
          <w:szCs w:val="32"/>
          <w:shd w:val="clear" w:fill="FFFFFF"/>
        </w:rPr>
        <w:t>年，我办未制作出台规范性文件，收到政协建议提案</w:t>
      </w:r>
      <w:r>
        <w:rPr>
          <w:rFonts w:hint="eastAsia" w:ascii="仿宋_GB2312" w:hAnsi="仿宋_GB2312" w:eastAsia="仿宋_GB2312" w:cs="仿宋_GB2312"/>
          <w:b w:val="0"/>
          <w:i w:val="0"/>
          <w:caps w:val="0"/>
          <w:color w:val="000000"/>
          <w:spacing w:val="0"/>
          <w:sz w:val="32"/>
          <w:szCs w:val="32"/>
          <w:shd w:val="clear" w:fill="FFFFFF"/>
          <w:lang w:val="en-US" w:eastAsia="zh-CN"/>
        </w:rPr>
        <w:t>1件，已于2020年5月13日答复完毕</w:t>
      </w:r>
      <w:bookmarkStart w:id="0" w:name="_GoBack"/>
      <w:bookmarkEnd w:id="0"/>
      <w:r>
        <w:rPr>
          <w:rFonts w:hint="eastAsia" w:ascii="仿宋_GB2312" w:hAnsi="仿宋_GB2312" w:eastAsia="仿宋_GB2312" w:cs="仿宋_GB2312"/>
          <w:b w:val="0"/>
          <w:i w:val="0"/>
          <w:caps w:val="0"/>
          <w:color w:val="000000"/>
          <w:spacing w:val="0"/>
          <w:sz w:val="32"/>
          <w:szCs w:val="32"/>
          <w:shd w:val="clear" w:fill="FFFFFF"/>
        </w:rPr>
        <w:t>。无政府集中采购项目。无行政处罚、行政强制、行政事业性收费等。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b w:val="0"/>
          <w:i w:val="0"/>
          <w:caps w:val="0"/>
          <w:color w:val="000000"/>
          <w:spacing w:val="0"/>
          <w:sz w:val="32"/>
          <w:szCs w:val="32"/>
          <w:shd w:val="clear" w:fill="FFFFFF"/>
          <w:lang w:val="en-US" w:eastAsia="zh-CN"/>
        </w:rPr>
      </w:pPr>
      <w:r>
        <w:rPr>
          <w:rFonts w:hint="eastAsia" w:ascii="仿宋_GB2312" w:hAnsi="仿宋_GB2312" w:eastAsia="仿宋_GB2312" w:cs="仿宋_GB2312"/>
          <w:b w:val="0"/>
          <w:i w:val="0"/>
          <w:caps w:val="0"/>
          <w:color w:val="000000"/>
          <w:spacing w:val="0"/>
          <w:sz w:val="32"/>
          <w:szCs w:val="32"/>
          <w:shd w:val="clear" w:fill="FFFFFF"/>
        </w:rPr>
        <w:t>按照政府信息主动公开范围，20</w:t>
      </w:r>
      <w:r>
        <w:rPr>
          <w:rFonts w:hint="eastAsia" w:ascii="仿宋_GB2312" w:hAnsi="仿宋_GB2312" w:eastAsia="仿宋_GB2312" w:cs="仿宋_GB2312"/>
          <w:b w:val="0"/>
          <w:i w:val="0"/>
          <w:caps w:val="0"/>
          <w:color w:val="000000"/>
          <w:spacing w:val="0"/>
          <w:sz w:val="32"/>
          <w:szCs w:val="32"/>
          <w:shd w:val="clear" w:fill="FFFFFF"/>
          <w:lang w:val="en-US" w:eastAsia="zh-CN"/>
        </w:rPr>
        <w:t>20</w:t>
      </w:r>
      <w:r>
        <w:rPr>
          <w:rFonts w:hint="eastAsia" w:ascii="仿宋_GB2312" w:hAnsi="仿宋_GB2312" w:eastAsia="仿宋_GB2312" w:cs="仿宋_GB2312"/>
          <w:b w:val="0"/>
          <w:i w:val="0"/>
          <w:caps w:val="0"/>
          <w:color w:val="000000"/>
          <w:spacing w:val="0"/>
          <w:sz w:val="32"/>
          <w:szCs w:val="32"/>
          <w:shd w:val="clear" w:fill="FFFFFF"/>
        </w:rPr>
        <w:t>年，我办通过“张店区政府门户网站”主动公开政府信息</w:t>
      </w:r>
      <w:r>
        <w:rPr>
          <w:rFonts w:hint="eastAsia" w:ascii="仿宋_GB2312" w:hAnsi="仿宋_GB2312" w:eastAsia="仿宋_GB2312" w:cs="仿宋_GB2312"/>
          <w:b w:val="0"/>
          <w:i w:val="0"/>
          <w:caps w:val="0"/>
          <w:color w:val="000000"/>
          <w:spacing w:val="0"/>
          <w:sz w:val="32"/>
          <w:szCs w:val="32"/>
          <w:shd w:val="clear" w:fill="FFFFFF"/>
          <w:lang w:val="en-US" w:eastAsia="zh-CN"/>
        </w:rPr>
        <w:t>54</w:t>
      </w:r>
      <w:r>
        <w:rPr>
          <w:rFonts w:hint="eastAsia" w:ascii="仿宋_GB2312" w:hAnsi="仿宋_GB2312" w:eastAsia="仿宋_GB2312" w:cs="仿宋_GB2312"/>
          <w:b w:val="0"/>
          <w:i w:val="0"/>
          <w:caps w:val="0"/>
          <w:color w:val="000000"/>
          <w:spacing w:val="0"/>
          <w:sz w:val="32"/>
          <w:szCs w:val="32"/>
          <w:shd w:val="clear" w:fill="FFFFFF"/>
        </w:rPr>
        <w:t>条</w:t>
      </w:r>
      <w:r>
        <w:rPr>
          <w:rFonts w:hint="eastAsia" w:ascii="仿宋_GB2312" w:hAnsi="仿宋_GB2312" w:eastAsia="仿宋_GB2312" w:cs="仿宋_GB2312"/>
          <w:b w:val="0"/>
          <w:i w:val="0"/>
          <w:caps w:val="0"/>
          <w:color w:val="000000"/>
          <w:spacing w:val="0"/>
          <w:sz w:val="32"/>
          <w:szCs w:val="32"/>
          <w:shd w:val="clear" w:fill="FFFFFF"/>
          <w:lang w:eastAsia="zh-CN"/>
        </w:rPr>
        <w:t>，</w:t>
      </w:r>
      <w:r>
        <w:rPr>
          <w:rFonts w:hint="eastAsia" w:ascii="仿宋_GB2312" w:hAnsi="仿宋_GB2312" w:eastAsia="仿宋_GB2312" w:cs="仿宋_GB2312"/>
          <w:b w:val="0"/>
          <w:i w:val="0"/>
          <w:caps w:val="0"/>
          <w:color w:val="000000"/>
          <w:spacing w:val="0"/>
          <w:sz w:val="32"/>
          <w:szCs w:val="32"/>
          <w:shd w:val="clear" w:fill="FFFFFF"/>
          <w:lang w:val="en-US" w:eastAsia="zh-CN"/>
        </w:rPr>
        <w:t>通过</w:t>
      </w:r>
      <w:r>
        <w:rPr>
          <w:rFonts w:hint="eastAsia" w:ascii="仿宋_GB2312" w:hAnsi="仿宋_GB2312" w:eastAsia="仿宋_GB2312" w:cs="仿宋_GB2312"/>
          <w:b w:val="0"/>
          <w:i w:val="0"/>
          <w:caps w:val="0"/>
          <w:color w:val="000000"/>
          <w:spacing w:val="0"/>
          <w:sz w:val="32"/>
          <w:szCs w:val="32"/>
          <w:shd w:val="clear" w:fill="FFFFFF"/>
        </w:rPr>
        <w:t>“淄博会展”微信公众号</w:t>
      </w:r>
      <w:r>
        <w:rPr>
          <w:rFonts w:hint="eastAsia" w:ascii="仿宋_GB2312" w:hAnsi="仿宋_GB2312" w:eastAsia="仿宋_GB2312" w:cs="仿宋_GB2312"/>
          <w:b w:val="0"/>
          <w:i w:val="0"/>
          <w:caps w:val="0"/>
          <w:color w:val="000000"/>
          <w:spacing w:val="0"/>
          <w:sz w:val="32"/>
          <w:szCs w:val="32"/>
          <w:shd w:val="clear" w:fill="FFFFFF"/>
          <w:lang w:val="en-US" w:eastAsia="zh-CN"/>
        </w:rPr>
        <w:t>主动发布展会资讯等信息180期。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ascii="微软雅黑" w:hAnsi="微软雅黑" w:eastAsia="微软雅黑" w:cs="微软雅黑"/>
          <w:i w:val="0"/>
          <w:caps w:val="0"/>
          <w:color w:val="000000"/>
          <w:spacing w:val="0"/>
          <w:sz w:val="32"/>
          <w:szCs w:val="32"/>
          <w:shd w:val="clear" w:fill="FFFFFF"/>
        </w:rPr>
        <w:t> </w:t>
      </w:r>
    </w:p>
    <w:tbl>
      <w:tblPr>
        <w:tblStyle w:val="3"/>
        <w:tblW w:w="8215"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autofit"/>
        <w:tblCellMar>
          <w:top w:w="0" w:type="dxa"/>
          <w:left w:w="0" w:type="dxa"/>
          <w:bottom w:w="0" w:type="dxa"/>
          <w:right w:w="0" w:type="dxa"/>
        </w:tblCellMar>
      </w:tblPr>
      <w:tblGrid>
        <w:gridCol w:w="2413"/>
        <w:gridCol w:w="11"/>
        <w:gridCol w:w="2125"/>
        <w:gridCol w:w="1641"/>
        <w:gridCol w:w="20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0" w:type="dxa"/>
            <w:bottom w:w="0" w:type="dxa"/>
            <w:right w:w="0" w:type="dxa"/>
          </w:tblCellMar>
        </w:tblPrEx>
        <w:trPr>
          <w:trHeight w:val="300" w:hRule="atLeast"/>
        </w:trPr>
        <w:tc>
          <w:tcPr>
            <w:tcW w:w="8215" w:type="dxa"/>
            <w:gridSpan w:val="5"/>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第二十条第（一）项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35"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信息内容</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本年新制作数量</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本年新</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公开数量</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对外公开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总数量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3"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规章</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color w:val="000000"/>
                <w:sz w:val="21"/>
                <w:szCs w:val="21"/>
              </w:rPr>
              <w:t>　　</w:t>
            </w:r>
            <w:r>
              <w:rPr>
                <w:rFonts w:hint="eastAsia" w:ascii="宋体" w:hAnsi="宋体" w:eastAsia="宋体" w:cs="宋体"/>
                <w:color w:val="000000"/>
                <w:sz w:val="21"/>
                <w:szCs w:val="21"/>
              </w:rPr>
              <w:t>0</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eastAsiaTheme="minorEastAsia"/>
                <w:sz w:val="21"/>
                <w:szCs w:val="21"/>
                <w:lang w:val="en-US" w:eastAsia="zh-CN"/>
              </w:rPr>
            </w:pPr>
            <w:r>
              <w:rPr>
                <w:rFonts w:hint="eastAsia" w:ascii="宋体" w:hAnsi="宋体" w:eastAsia="宋体" w:cs="宋体"/>
                <w:color w:val="000000"/>
                <w:sz w:val="21"/>
                <w:szCs w:val="21"/>
              </w:rPr>
              <w:t>0</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r>
              <w:rPr>
                <w:color w:val="000000"/>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3"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规范性文件</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color w:val="000000"/>
                <w:sz w:val="21"/>
                <w:szCs w:val="21"/>
              </w:rPr>
              <w:t>　　</w:t>
            </w:r>
            <w:r>
              <w:rPr>
                <w:rFonts w:hint="eastAsia" w:ascii="宋体" w:hAnsi="宋体" w:eastAsia="宋体" w:cs="宋体"/>
                <w:color w:val="000000"/>
                <w:sz w:val="21"/>
                <w:szCs w:val="21"/>
              </w:rPr>
              <w:t>0</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r>
              <w:rPr>
                <w:color w:val="000000"/>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8215" w:type="dxa"/>
            <w:gridSpan w:val="5"/>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第二十条第（五）项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5"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信息内容</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上一年项目数量</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本年增/减</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处理决定数量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5"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行政许可</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r>
              <w:rPr>
                <w:color w:val="000000"/>
                <w:sz w:val="21"/>
                <w:szCs w:val="21"/>
              </w:rPr>
              <w:t>　</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r>
              <w:rPr>
                <w:color w:val="000000"/>
                <w:sz w:val="21"/>
                <w:szCs w:val="21"/>
              </w:rPr>
              <w:t>　</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color w:val="000000"/>
                <w:sz w:val="21"/>
                <w:szCs w:val="21"/>
              </w:rPr>
              <w:t>　</w:t>
            </w:r>
            <w:r>
              <w:rPr>
                <w:rFonts w:hint="eastAsia" w:ascii="宋体" w:hAnsi="宋体" w:eastAsia="宋体" w:cs="宋体"/>
                <w:color w:val="000000"/>
                <w:sz w:val="21"/>
                <w:szCs w:val="21"/>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78"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其他对外管理服务事项</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color w:val="000000"/>
                <w:sz w:val="21"/>
                <w:szCs w:val="21"/>
              </w:rPr>
              <w:t>　</w:t>
            </w:r>
            <w:r>
              <w:rPr>
                <w:rFonts w:hint="eastAsia" w:ascii="宋体" w:hAnsi="宋体" w:eastAsia="宋体" w:cs="宋体"/>
                <w:color w:val="000000"/>
                <w:sz w:val="21"/>
                <w:szCs w:val="21"/>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8" w:hRule="atLeast"/>
        </w:trPr>
        <w:tc>
          <w:tcPr>
            <w:tcW w:w="8215" w:type="dxa"/>
            <w:gridSpan w:val="5"/>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第二十条第（六）项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70"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信息内容</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上一年项目数量</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本年增/减</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处理决定数量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18"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行政处罚</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3"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行政强制</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1641"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20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8215" w:type="dxa"/>
            <w:gridSpan w:val="5"/>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第二十条第（八）项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5"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信息内容</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上一年项目数量</w:t>
            </w:r>
          </w:p>
        </w:tc>
        <w:tc>
          <w:tcPr>
            <w:tcW w:w="366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本年增/减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18" w:hRule="atLeast"/>
        </w:trPr>
        <w:tc>
          <w:tcPr>
            <w:tcW w:w="2413"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行政事业性收费</w:t>
            </w:r>
          </w:p>
        </w:tc>
        <w:tc>
          <w:tcPr>
            <w:tcW w:w="213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66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8215" w:type="dxa"/>
            <w:gridSpan w:val="5"/>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第二十条第（九）项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10" w:hRule="atLeast"/>
        </w:trPr>
        <w:tc>
          <w:tcPr>
            <w:tcW w:w="2424"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信息内容</w:t>
            </w:r>
          </w:p>
        </w:tc>
        <w:tc>
          <w:tcPr>
            <w:tcW w:w="21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采购项目数量</w:t>
            </w:r>
          </w:p>
        </w:tc>
        <w:tc>
          <w:tcPr>
            <w:tcW w:w="366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采购总金额</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33" w:hRule="atLeast"/>
        </w:trPr>
        <w:tc>
          <w:tcPr>
            <w:tcW w:w="2424"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sz w:val="21"/>
                <w:szCs w:val="21"/>
              </w:rPr>
            </w:pPr>
            <w:r>
              <w:rPr>
                <w:rFonts w:hint="eastAsia" w:ascii="宋体" w:hAnsi="宋体" w:eastAsia="宋体" w:cs="宋体"/>
                <w:color w:val="000000"/>
                <w:sz w:val="21"/>
                <w:szCs w:val="21"/>
              </w:rPr>
              <w:t>政府集中采购</w:t>
            </w:r>
          </w:p>
        </w:tc>
        <w:tc>
          <w:tcPr>
            <w:tcW w:w="2125" w:type="dxa"/>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666" w:type="dxa"/>
            <w:gridSpan w:val="2"/>
            <w:tcBorders>
              <w:tl2br w:val="nil"/>
              <w:tr2bl w:val="nil"/>
            </w:tcBorders>
            <w:shd w:val="clear" w:color="auto" w:fill="FFFFFF"/>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eastAsia" w:ascii="黑体" w:hAnsi="宋体" w:eastAsia="黑体" w:cs="黑体"/>
          <w:i w:val="0"/>
          <w:caps w:val="0"/>
          <w:color w:val="000000"/>
          <w:spacing w:val="0"/>
          <w:sz w:val="32"/>
          <w:szCs w:val="32"/>
          <w:shd w:val="clear" w:fill="FFFFFF"/>
        </w:rPr>
        <w:t>三、收到和处理政府信息公开申请情况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hint="eastAsia" w:ascii="微软雅黑" w:hAnsi="微软雅黑" w:eastAsia="微软雅黑" w:cs="微软雅黑"/>
          <w:i w:val="0"/>
          <w:caps w:val="0"/>
          <w:color w:val="000000"/>
          <w:spacing w:val="0"/>
          <w:sz w:val="32"/>
          <w:szCs w:val="32"/>
          <w:shd w:val="clear" w:fill="FFFFFF"/>
        </w:rPr>
        <w:t> </w:t>
      </w:r>
    </w:p>
    <w:tbl>
      <w:tblPr>
        <w:tblStyle w:val="3"/>
        <w:tblW w:w="8672" w:type="dxa"/>
        <w:tblInd w:w="-242" w:type="dxa"/>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auto"/>
        <w:tblLayout w:type="autofit"/>
        <w:tblCellMar>
          <w:top w:w="0" w:type="dxa"/>
          <w:left w:w="0" w:type="dxa"/>
          <w:bottom w:w="0" w:type="dxa"/>
          <w:right w:w="0" w:type="dxa"/>
        </w:tblCellMar>
      </w:tblPr>
      <w:tblGrid>
        <w:gridCol w:w="1322"/>
        <w:gridCol w:w="1106"/>
        <w:gridCol w:w="1772"/>
        <w:gridCol w:w="675"/>
        <w:gridCol w:w="600"/>
        <w:gridCol w:w="628"/>
        <w:gridCol w:w="807"/>
        <w:gridCol w:w="815"/>
        <w:gridCol w:w="525"/>
        <w:gridCol w:w="422"/>
      </w:tblGrid>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auto"/>
          <w:tblCellMar>
            <w:top w:w="0" w:type="dxa"/>
            <w:left w:w="0" w:type="dxa"/>
            <w:bottom w:w="0" w:type="dxa"/>
            <w:right w:w="0" w:type="dxa"/>
          </w:tblCellMar>
        </w:tblPrEx>
        <w:trPr>
          <w:trHeight w:val="210" w:hRule="atLeast"/>
        </w:trPr>
        <w:tc>
          <w:tcPr>
            <w:tcW w:w="4200" w:type="dxa"/>
            <w:gridSpan w:val="3"/>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（本列数据的勾稽关系为：第一项加第二项之和，等于第三项加第四项之和）</w:t>
            </w:r>
          </w:p>
        </w:tc>
        <w:tc>
          <w:tcPr>
            <w:tcW w:w="4472" w:type="dxa"/>
            <w:gridSpan w:val="7"/>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申请人情况</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10" w:hRule="atLeast"/>
        </w:trPr>
        <w:tc>
          <w:tcPr>
            <w:tcW w:w="4200" w:type="dxa"/>
            <w:gridSpan w:val="3"/>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hAnsi="宋体" w:eastAsia="宋体" w:cs="宋体"/>
                <w:sz w:val="21"/>
                <w:szCs w:val="21"/>
              </w:rPr>
            </w:pPr>
          </w:p>
        </w:tc>
        <w:tc>
          <w:tcPr>
            <w:tcW w:w="675"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自然人</w:t>
            </w:r>
          </w:p>
        </w:tc>
        <w:tc>
          <w:tcPr>
            <w:tcW w:w="3375" w:type="dxa"/>
            <w:gridSpan w:val="5"/>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法人或其他组织</w:t>
            </w:r>
          </w:p>
        </w:tc>
        <w:tc>
          <w:tcPr>
            <w:tcW w:w="422"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总计</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563" w:hRule="atLeast"/>
        </w:trPr>
        <w:tc>
          <w:tcPr>
            <w:tcW w:w="4200" w:type="dxa"/>
            <w:gridSpan w:val="3"/>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hAnsi="宋体" w:eastAsia="宋体" w:cs="宋体"/>
                <w:sz w:val="21"/>
                <w:szCs w:val="21"/>
              </w:rPr>
            </w:pPr>
          </w:p>
        </w:tc>
        <w:tc>
          <w:tcPr>
            <w:tcW w:w="675" w:type="dxa"/>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hAnsi="宋体" w:eastAsia="宋体" w:cs="宋体"/>
                <w:sz w:val="21"/>
                <w:szCs w:val="21"/>
              </w:rPr>
            </w:pP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商业企业</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科研机构</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社会公益组织</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法律服务机构</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其他</w:t>
            </w:r>
          </w:p>
        </w:tc>
        <w:tc>
          <w:tcPr>
            <w:tcW w:w="4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hAnsi="宋体" w:eastAsia="宋体" w:cs="宋体"/>
                <w:sz w:val="21"/>
                <w:szCs w:val="21"/>
              </w:rPr>
            </w:pP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c>
          <w:tcPr>
            <w:tcW w:w="4200" w:type="dxa"/>
            <w:gridSpan w:val="3"/>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一、本年新收政府信息公开申请数量</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c>
          <w:tcPr>
            <w:tcW w:w="4200" w:type="dxa"/>
            <w:gridSpan w:val="3"/>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二、上年结转政府信息公开申请数量</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c>
          <w:tcPr>
            <w:tcW w:w="1322"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三、本年度办理结果</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tc>
        <w:tc>
          <w:tcPr>
            <w:tcW w:w="2878" w:type="dxa"/>
            <w:gridSpan w:val="2"/>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（一）予以公开</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2878" w:type="dxa"/>
            <w:gridSpan w:val="2"/>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（二）部分公开（区分处理的，只计这一情形，不计其他情形）</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（三）不予公开</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1.属于国家秘密</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2.其他法律行政法规禁止公开</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3.危及“三安全一稳定”</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4.保护第三方合法权益</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5.属于三类内部事务信息</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6.属于四类过程性信息</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7.属于行政执法案卷</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8.属于行政查询事项</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（四）无法提供</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1.本机关不掌握相关政府信息</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2.没有现成信息需要另行制作</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3.补正后申请内容仍不明确</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（五）不予处理</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 </w:t>
            </w: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1.信访举报投诉类申请</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2.重复申请</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2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3.要求提供公开出版物</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19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4.无正当理由大量反复申请</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106"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177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5.要求行政机关确认或重新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出具已获取信息</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19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2878" w:type="dxa"/>
            <w:gridSpan w:val="2"/>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（六）其他处理</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195" w:hRule="atLeast"/>
        </w:trPr>
        <w:tc>
          <w:tcPr>
            <w:tcW w:w="1322" w:type="dxa"/>
            <w:vMerge w:val="continue"/>
            <w:tcBorders>
              <w:tl2br w:val="nil"/>
              <w:tr2bl w:val="nil"/>
            </w:tcBorders>
            <w:shd w:val="clear" w:color="auto" w:fill="auto"/>
            <w:tcMar>
              <w:left w:w="53" w:type="dxa"/>
              <w:right w:w="53"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right="0" w:firstLine="0" w:firstLineChars="0"/>
              <w:jc w:val="left"/>
              <w:textAlignment w:val="auto"/>
              <w:rPr>
                <w:rFonts w:hint="eastAsia" w:ascii="宋体" w:hAnsi="宋体" w:eastAsia="宋体" w:cs="宋体"/>
                <w:sz w:val="21"/>
                <w:szCs w:val="21"/>
              </w:rPr>
            </w:pPr>
          </w:p>
        </w:tc>
        <w:tc>
          <w:tcPr>
            <w:tcW w:w="2878" w:type="dxa"/>
            <w:gridSpan w:val="2"/>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（七）总计</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c>
          <w:tcPr>
            <w:tcW w:w="4200" w:type="dxa"/>
            <w:gridSpan w:val="3"/>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textAlignment w:val="auto"/>
              <w:rPr>
                <w:rFonts w:hint="eastAsia" w:ascii="宋体" w:hAnsi="宋体" w:eastAsia="宋体" w:cs="宋体"/>
                <w:sz w:val="21"/>
                <w:szCs w:val="21"/>
              </w:rPr>
            </w:pPr>
            <w:r>
              <w:rPr>
                <w:rFonts w:hint="eastAsia" w:ascii="宋体" w:hAnsi="宋体" w:eastAsia="宋体" w:cs="宋体"/>
                <w:color w:val="000000"/>
                <w:sz w:val="21"/>
                <w:szCs w:val="21"/>
              </w:rPr>
              <w:t>四、结转下年度继续办理</w:t>
            </w:r>
          </w:p>
        </w:tc>
        <w:tc>
          <w:tcPr>
            <w:tcW w:w="67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62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07"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81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525"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c>
          <w:tcPr>
            <w:tcW w:w="422"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hint="eastAsia" w:ascii="黑体" w:hAnsi="宋体" w:eastAsia="黑体" w:cs="黑体"/>
          <w:i w:val="0"/>
          <w:caps w:val="0"/>
          <w:color w:val="000000"/>
          <w:spacing w:val="0"/>
          <w:sz w:val="32"/>
          <w:szCs w:val="32"/>
          <w:shd w:val="clear" w:fill="FFFFFF"/>
        </w:rPr>
        <w:t>四、政府信息公开行政复议、行政诉讼情况</w:t>
      </w:r>
    </w:p>
    <w:tbl>
      <w:tblPr>
        <w:tblStyle w:val="3"/>
        <w:tblW w:w="6983" w:type="dxa"/>
        <w:tblInd w:w="0" w:type="dxa"/>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auto"/>
        <w:tblLayout w:type="autofit"/>
        <w:tblCellMar>
          <w:top w:w="0" w:type="dxa"/>
          <w:left w:w="0" w:type="dxa"/>
          <w:bottom w:w="0" w:type="dxa"/>
          <w:right w:w="0" w:type="dxa"/>
        </w:tblCellMar>
      </w:tblPr>
      <w:tblGrid>
        <w:gridCol w:w="463"/>
        <w:gridCol w:w="463"/>
        <w:gridCol w:w="463"/>
        <w:gridCol w:w="463"/>
        <w:gridCol w:w="496"/>
        <w:gridCol w:w="463"/>
        <w:gridCol w:w="463"/>
        <w:gridCol w:w="463"/>
        <w:gridCol w:w="463"/>
        <w:gridCol w:w="463"/>
        <w:gridCol w:w="464"/>
        <w:gridCol w:w="464"/>
        <w:gridCol w:w="464"/>
        <w:gridCol w:w="464"/>
        <w:gridCol w:w="464"/>
      </w:tblGrid>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auto"/>
          <w:tblCellMar>
            <w:top w:w="0" w:type="dxa"/>
            <w:left w:w="0" w:type="dxa"/>
            <w:bottom w:w="0" w:type="dxa"/>
            <w:right w:w="0" w:type="dxa"/>
          </w:tblCellMar>
        </w:tblPrEx>
        <w:trPr>
          <w:trHeight w:val="248" w:hRule="atLeast"/>
        </w:trPr>
        <w:tc>
          <w:tcPr>
            <w:tcW w:w="1538" w:type="dxa"/>
            <w:gridSpan w:val="5"/>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行政复议</w:t>
            </w:r>
          </w:p>
        </w:tc>
        <w:tc>
          <w:tcPr>
            <w:tcW w:w="3000" w:type="dxa"/>
            <w:gridSpan w:val="10"/>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行政诉讼</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270" w:hRule="atLeast"/>
        </w:trPr>
        <w:tc>
          <w:tcPr>
            <w:tcW w:w="300"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维持</w:t>
            </w:r>
          </w:p>
        </w:tc>
        <w:tc>
          <w:tcPr>
            <w:tcW w:w="300"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结果纠正</w:t>
            </w:r>
          </w:p>
        </w:tc>
        <w:tc>
          <w:tcPr>
            <w:tcW w:w="300"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其他结果</w:t>
            </w:r>
          </w:p>
        </w:tc>
        <w:tc>
          <w:tcPr>
            <w:tcW w:w="300"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尚未</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审结</w:t>
            </w:r>
          </w:p>
        </w:tc>
        <w:tc>
          <w:tcPr>
            <w:tcW w:w="330" w:type="dxa"/>
            <w:vMerge w:val="restart"/>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计</w:t>
            </w:r>
          </w:p>
        </w:tc>
        <w:tc>
          <w:tcPr>
            <w:tcW w:w="1485" w:type="dxa"/>
            <w:gridSpan w:val="5"/>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未经复议直接起诉</w:t>
            </w:r>
          </w:p>
        </w:tc>
        <w:tc>
          <w:tcPr>
            <w:tcW w:w="1515" w:type="dxa"/>
            <w:gridSpan w:val="5"/>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复议后起诉</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450" w:hRule="atLeast"/>
        </w:trPr>
        <w:tc>
          <w:tcPr>
            <w:tcW w:w="300" w:type="dxa"/>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sz w:val="21"/>
                <w:szCs w:val="21"/>
              </w:rPr>
            </w:pPr>
          </w:p>
        </w:tc>
        <w:tc>
          <w:tcPr>
            <w:tcW w:w="300" w:type="dxa"/>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sz w:val="21"/>
                <w:szCs w:val="21"/>
              </w:rPr>
            </w:pPr>
          </w:p>
        </w:tc>
        <w:tc>
          <w:tcPr>
            <w:tcW w:w="300" w:type="dxa"/>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sz w:val="21"/>
                <w:szCs w:val="21"/>
              </w:rPr>
            </w:pPr>
          </w:p>
        </w:tc>
        <w:tc>
          <w:tcPr>
            <w:tcW w:w="300" w:type="dxa"/>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sz w:val="21"/>
                <w:szCs w:val="21"/>
              </w:rPr>
            </w:pPr>
          </w:p>
        </w:tc>
        <w:tc>
          <w:tcPr>
            <w:tcW w:w="330" w:type="dxa"/>
            <w:vMerge w:val="continue"/>
            <w:tcBorders>
              <w:tl2br w:val="nil"/>
              <w:tr2bl w:val="nil"/>
            </w:tcBorders>
            <w:shd w:val="clear" w:color="auto" w:fill="auto"/>
            <w:tcMar>
              <w:left w:w="53" w:type="dxa"/>
              <w:right w:w="53" w:type="dxa"/>
            </w:tcMar>
            <w:vAlign w:val="center"/>
          </w:tcPr>
          <w:p>
            <w:pPr>
              <w:keepNext w:val="0"/>
              <w:keepLines w:val="0"/>
              <w:pageBreakBefore w:val="0"/>
              <w:widowControl/>
              <w:kinsoku/>
              <w:wordWrap/>
              <w:overflowPunct/>
              <w:topLinePunct w:val="0"/>
              <w:autoSpaceDE/>
              <w:autoSpaceDN/>
              <w:bidi w:val="0"/>
              <w:adjustRightInd/>
              <w:snapToGrid/>
              <w:spacing w:before="0" w:after="0" w:line="240" w:lineRule="atLeast"/>
              <w:ind w:firstLine="0" w:firstLineChars="0"/>
              <w:textAlignment w:val="auto"/>
              <w:rPr>
                <w:rFonts w:hint="eastAsia" w:ascii="宋体"/>
                <w:sz w:val="21"/>
                <w:szCs w:val="21"/>
              </w:rPr>
            </w:pPr>
          </w:p>
        </w:tc>
        <w:tc>
          <w:tcPr>
            <w:tcW w:w="27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结果维持</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结果纠正</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其他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结果</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尚未</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审结</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总计</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结果维持</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纠正</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其他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结果</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尚未审结</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总计</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3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278"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c>
          <w:tcPr>
            <w:tcW w:w="300" w:type="dxa"/>
            <w:tcBorders>
              <w:tl2br w:val="nil"/>
              <w:tr2bl w:val="nil"/>
            </w:tcBorders>
            <w:shd w:val="clear" w:color="auto" w:fill="auto"/>
            <w:tcMar>
              <w:left w:w="53" w:type="dxa"/>
              <w:right w:w="53"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sz w:val="21"/>
                <w:szCs w:val="21"/>
              </w:rPr>
            </w:pPr>
            <w:r>
              <w:rPr>
                <w:rFonts w:hint="eastAsia" w:ascii="宋体" w:hAnsi="宋体" w:eastAsia="宋体" w:cs="宋体"/>
                <w:color w:val="000000"/>
                <w:sz w:val="21"/>
                <w:szCs w:val="21"/>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hint="eastAsia" w:ascii="黑体" w:hAnsi="宋体" w:eastAsia="黑体" w:cs="黑体"/>
          <w:i w:val="0"/>
          <w:caps w:val="0"/>
          <w:color w:val="000000"/>
          <w:spacing w:val="0"/>
          <w:sz w:val="32"/>
          <w:szCs w:val="32"/>
          <w:shd w:val="clear" w:fill="FFFFFF"/>
        </w:rPr>
        <w:t>五、存在的主要问题及改进情况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20</w:t>
      </w:r>
      <w:r>
        <w:rPr>
          <w:rFonts w:hint="eastAsia" w:ascii="仿宋" w:hAnsi="仿宋" w:eastAsia="仿宋" w:cs="仿宋"/>
          <w:i w:val="0"/>
          <w:caps w:val="0"/>
          <w:color w:val="000000"/>
          <w:spacing w:val="0"/>
          <w:sz w:val="32"/>
          <w:szCs w:val="32"/>
          <w:shd w:val="clear" w:fill="FFFFFF"/>
          <w:lang w:val="en-US" w:eastAsia="zh-CN"/>
        </w:rPr>
        <w:t>20</w:t>
      </w:r>
      <w:r>
        <w:rPr>
          <w:rFonts w:hint="eastAsia" w:ascii="仿宋" w:hAnsi="仿宋" w:eastAsia="仿宋" w:cs="仿宋"/>
          <w:i w:val="0"/>
          <w:caps w:val="0"/>
          <w:color w:val="000000"/>
          <w:spacing w:val="0"/>
          <w:sz w:val="32"/>
          <w:szCs w:val="32"/>
          <w:shd w:val="clear" w:fill="FFFFFF"/>
        </w:rPr>
        <w:t>年，张店区</w:t>
      </w:r>
      <w:r>
        <w:rPr>
          <w:rFonts w:hint="eastAsia" w:ascii="仿宋" w:hAnsi="仿宋" w:eastAsia="仿宋" w:cs="仿宋"/>
          <w:i w:val="0"/>
          <w:caps w:val="0"/>
          <w:color w:val="000000"/>
          <w:spacing w:val="0"/>
          <w:sz w:val="32"/>
          <w:szCs w:val="32"/>
          <w:shd w:val="clear" w:fill="FFFFFF"/>
          <w:lang w:val="en-US" w:eastAsia="zh-CN"/>
        </w:rPr>
        <w:t>会展管理办公室</w:t>
      </w:r>
      <w:r>
        <w:rPr>
          <w:rFonts w:hint="eastAsia" w:ascii="仿宋" w:hAnsi="仿宋" w:eastAsia="仿宋" w:cs="仿宋"/>
          <w:i w:val="0"/>
          <w:caps w:val="0"/>
          <w:color w:val="000000"/>
          <w:spacing w:val="0"/>
          <w:sz w:val="32"/>
          <w:szCs w:val="32"/>
          <w:shd w:val="clear" w:fill="FFFFFF"/>
        </w:rPr>
        <w:t>政府信息公开工作虽然取得一定成效，但仍存在部分信息公开内容不够及时、重点领域信息公开不够全面、信息公开方式有待创新等方面的不足。主要表现为部分领域信息公开内容还不全面、不系统，对</w:t>
      </w:r>
      <w:r>
        <w:rPr>
          <w:rFonts w:hint="eastAsia" w:ascii="仿宋" w:hAnsi="仿宋" w:eastAsia="仿宋" w:cs="仿宋"/>
          <w:i w:val="0"/>
          <w:caps w:val="0"/>
          <w:color w:val="000000"/>
          <w:spacing w:val="0"/>
          <w:sz w:val="32"/>
          <w:szCs w:val="32"/>
          <w:shd w:val="clear" w:fill="FFFFFF"/>
          <w:lang w:val="en-US" w:eastAsia="zh-CN"/>
        </w:rPr>
        <w:t>展会动态和咨询实时更新</w:t>
      </w:r>
      <w:r>
        <w:rPr>
          <w:rFonts w:hint="eastAsia" w:ascii="仿宋" w:hAnsi="仿宋" w:eastAsia="仿宋" w:cs="仿宋"/>
          <w:i w:val="0"/>
          <w:caps w:val="0"/>
          <w:color w:val="000000"/>
          <w:spacing w:val="0"/>
          <w:sz w:val="32"/>
          <w:szCs w:val="32"/>
          <w:shd w:val="clear" w:fill="FFFFFF"/>
        </w:rPr>
        <w:t>不够及时等。202</w:t>
      </w:r>
      <w:r>
        <w:rPr>
          <w:rFonts w:hint="eastAsia" w:ascii="仿宋" w:hAnsi="仿宋" w:eastAsia="仿宋" w:cs="仿宋"/>
          <w:i w:val="0"/>
          <w:caps w:val="0"/>
          <w:color w:val="000000"/>
          <w:spacing w:val="0"/>
          <w:sz w:val="32"/>
          <w:szCs w:val="32"/>
          <w:shd w:val="clear" w:fill="FFFFFF"/>
          <w:lang w:val="en-US" w:eastAsia="zh-CN"/>
        </w:rPr>
        <w:t>1</w:t>
      </w:r>
      <w:r>
        <w:rPr>
          <w:rFonts w:hint="eastAsia" w:ascii="仿宋" w:hAnsi="仿宋" w:eastAsia="仿宋" w:cs="仿宋"/>
          <w:i w:val="0"/>
          <w:caps w:val="0"/>
          <w:color w:val="000000"/>
          <w:spacing w:val="0"/>
          <w:sz w:val="32"/>
          <w:szCs w:val="32"/>
          <w:shd w:val="clear" w:fill="FFFFFF"/>
        </w:rPr>
        <w:t>年，将从以下几方面进行改进：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一是提高信息规范化质量。认真落实政府信息公开各项制度，推进政府信息公开的精细化管理，加大信息公开标准化、规范化建设力度。进一步完善信息公开工作制度机制，明确职责和工作分工，确保信息公开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lang w:val="en-US" w:eastAsia="zh-CN"/>
        </w:rPr>
        <w:t>二是加强政务信息公开知识培训。进一步</w:t>
      </w:r>
      <w:r>
        <w:rPr>
          <w:rFonts w:hint="eastAsia" w:ascii="仿宋" w:hAnsi="仿宋" w:eastAsia="仿宋" w:cs="仿宋"/>
          <w:i w:val="0"/>
          <w:caps w:val="0"/>
          <w:color w:val="000000"/>
          <w:spacing w:val="0"/>
          <w:sz w:val="32"/>
          <w:szCs w:val="32"/>
          <w:shd w:val="clear" w:fill="FFFFFF"/>
        </w:rPr>
        <w:t>加强学习，强化掌握政策解读的内涵、范围，提高政策解读工作的科学性、权威性、针对性和通俗性。加强对《条例》的学习和宣传，强化主动公开意识，不断提高政府信息公开的主动性和积极性，把推进政府信息公开作为建设服务型政府的一项重要内容，落实到日常工作中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eastAsia" w:ascii="仿宋" w:hAnsi="仿宋" w:eastAsia="仿宋" w:cs="仿宋"/>
          <w:i w:val="0"/>
          <w:caps w:val="0"/>
          <w:color w:val="000000"/>
          <w:spacing w:val="0"/>
          <w:sz w:val="32"/>
          <w:szCs w:val="32"/>
          <w:shd w:val="clear" w:fill="FFFFFF"/>
          <w:lang w:val="en-US" w:eastAsia="zh-CN"/>
        </w:rPr>
        <w:t>三</w:t>
      </w:r>
      <w:r>
        <w:rPr>
          <w:rFonts w:hint="eastAsia" w:ascii="仿宋" w:hAnsi="仿宋" w:eastAsia="仿宋" w:cs="仿宋"/>
          <w:i w:val="0"/>
          <w:caps w:val="0"/>
          <w:color w:val="000000"/>
          <w:spacing w:val="0"/>
          <w:sz w:val="32"/>
          <w:szCs w:val="32"/>
          <w:shd w:val="clear" w:fill="FFFFFF"/>
        </w:rPr>
        <w:t>是</w:t>
      </w:r>
      <w:r>
        <w:rPr>
          <w:rFonts w:hint="eastAsia" w:ascii="仿宋" w:hAnsi="仿宋" w:eastAsia="仿宋" w:cs="仿宋"/>
          <w:i w:val="0"/>
          <w:caps w:val="0"/>
          <w:color w:val="000000"/>
          <w:spacing w:val="0"/>
          <w:sz w:val="32"/>
          <w:szCs w:val="32"/>
          <w:shd w:val="clear" w:fill="FFFFFF"/>
          <w:lang w:val="en-US" w:eastAsia="zh-CN"/>
        </w:rPr>
        <w:t>保障</w:t>
      </w:r>
      <w:r>
        <w:rPr>
          <w:rFonts w:hint="eastAsia" w:ascii="仿宋" w:hAnsi="仿宋" w:eastAsia="仿宋" w:cs="仿宋"/>
          <w:i w:val="0"/>
          <w:caps w:val="0"/>
          <w:color w:val="000000"/>
          <w:spacing w:val="0"/>
          <w:sz w:val="32"/>
          <w:szCs w:val="32"/>
          <w:shd w:val="clear" w:fill="FFFFFF"/>
        </w:rPr>
        <w:t>政府信息公开内容。围绕公众关心的热点问题，加强调研和分析，对重要信息高度重视和认真对待</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rPr>
        <w:t>及时更新网站信息，加强上报信息的准确性及时效性</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rPr>
        <w:t>提高公众对会展工作和政府信息公开的认知度，不断提高全系统政府信息公开的工作水平。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hint="eastAsia" w:ascii="黑体" w:hAnsi="宋体" w:eastAsia="黑体" w:cs="黑体"/>
          <w:i w:val="0"/>
          <w:caps w:val="0"/>
          <w:color w:val="000000"/>
          <w:spacing w:val="0"/>
          <w:sz w:val="32"/>
          <w:szCs w:val="32"/>
          <w:shd w:val="clear" w:fill="FFFFFF"/>
        </w:rPr>
        <w:t>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hint="eastAsia" w:ascii="仿宋" w:hAnsi="仿宋" w:eastAsia="仿宋" w:cs="仿宋"/>
          <w:i w:val="0"/>
          <w:caps w:val="0"/>
          <w:color w:val="000000"/>
          <w:spacing w:val="0"/>
          <w:sz w:val="32"/>
          <w:szCs w:val="32"/>
          <w:shd w:val="clear" w:fill="FFFFFF"/>
        </w:rPr>
        <w:t>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hint="eastAsia" w:ascii="微软雅黑" w:hAnsi="微软雅黑" w:eastAsia="微软雅黑" w:cs="微软雅黑"/>
          <w:i w:val="0"/>
          <w:caps w:val="0"/>
          <w:color w:val="000000"/>
          <w:spacing w:val="0"/>
          <w:sz w:val="32"/>
          <w:szCs w:val="32"/>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hint="eastAsia" w:ascii="微软雅黑" w:hAnsi="微软雅黑" w:eastAsia="微软雅黑" w:cs="微软雅黑"/>
          <w:i w:val="0"/>
          <w:caps w:val="0"/>
          <w:color w:val="000000"/>
          <w:spacing w:val="0"/>
          <w:sz w:val="32"/>
          <w:szCs w:val="32"/>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sz w:val="32"/>
          <w:szCs w:val="32"/>
        </w:rPr>
      </w:pPr>
      <w:r>
        <w:rPr>
          <w:rFonts w:hint="eastAsia" w:ascii="仿宋" w:hAnsi="仿宋" w:eastAsia="仿宋" w:cs="仿宋"/>
          <w:i w:val="0"/>
          <w:caps w:val="0"/>
          <w:color w:val="000000"/>
          <w:spacing w:val="0"/>
          <w:sz w:val="32"/>
          <w:szCs w:val="32"/>
          <w:shd w:val="clear" w:fill="FFFFFF"/>
        </w:rPr>
        <w:t>张店区会展管理办公室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sz w:val="32"/>
          <w:szCs w:val="32"/>
        </w:rPr>
      </w:pPr>
      <w:r>
        <w:rPr>
          <w:rFonts w:hint="eastAsia" w:ascii="仿宋" w:hAnsi="仿宋" w:eastAsia="仿宋" w:cs="仿宋"/>
          <w:i w:val="0"/>
          <w:caps w:val="0"/>
          <w:color w:val="000000"/>
          <w:spacing w:val="0"/>
          <w:sz w:val="32"/>
          <w:szCs w:val="32"/>
          <w:shd w:val="clear" w:fill="FFFFFF"/>
        </w:rPr>
        <w:t>202</w:t>
      </w:r>
      <w:r>
        <w:rPr>
          <w:rFonts w:hint="eastAsia" w:ascii="仿宋" w:hAnsi="仿宋" w:eastAsia="仿宋" w:cs="仿宋"/>
          <w:i w:val="0"/>
          <w:caps w:val="0"/>
          <w:color w:val="000000"/>
          <w:spacing w:val="0"/>
          <w:sz w:val="32"/>
          <w:szCs w:val="32"/>
          <w:shd w:val="clear" w:fill="FFFFFF"/>
          <w:lang w:val="en-US" w:eastAsia="zh-CN"/>
        </w:rPr>
        <w:t>1</w:t>
      </w:r>
      <w:r>
        <w:rPr>
          <w:rFonts w:hint="eastAsia" w:ascii="仿宋" w:hAnsi="仿宋" w:eastAsia="仿宋" w:cs="仿宋"/>
          <w:i w:val="0"/>
          <w:caps w:val="0"/>
          <w:color w:val="000000"/>
          <w:spacing w:val="0"/>
          <w:sz w:val="32"/>
          <w:szCs w:val="32"/>
          <w:shd w:val="clear" w:fill="FFFFFF"/>
        </w:rPr>
        <w:t>年1月</w:t>
      </w:r>
      <w:r>
        <w:rPr>
          <w:rFonts w:hint="eastAsia" w:ascii="仿宋" w:hAnsi="仿宋" w:eastAsia="仿宋" w:cs="仿宋"/>
          <w:i w:val="0"/>
          <w:caps w:val="0"/>
          <w:color w:val="000000"/>
          <w:spacing w:val="0"/>
          <w:sz w:val="32"/>
          <w:szCs w:val="32"/>
          <w:shd w:val="clear" w:fill="FFFFFF"/>
          <w:lang w:val="en-US" w:eastAsia="zh-CN"/>
        </w:rPr>
        <w:t>29</w:t>
      </w:r>
      <w:r>
        <w:rPr>
          <w:rFonts w:hint="eastAsia" w:ascii="仿宋" w:hAnsi="仿宋" w:eastAsia="仿宋" w:cs="仿宋"/>
          <w:i w:val="0"/>
          <w:caps w:val="0"/>
          <w:color w:val="000000"/>
          <w:spacing w:val="0"/>
          <w:sz w:val="32"/>
          <w:szCs w:val="32"/>
          <w:shd w:val="clear" w:fill="FFFFFF"/>
        </w:rPr>
        <w:t>日     </w:t>
      </w:r>
      <w:r>
        <w:rPr>
          <w:rFonts w:ascii="仿宋_GB2312" w:hAnsi="仿宋_GB2312" w:eastAsia="仿宋_GB2312" w:cs="仿宋_GB2312"/>
          <w:i w:val="0"/>
          <w:caps w:val="0"/>
          <w:color w:val="000000"/>
          <w:spacing w:val="0"/>
          <w:sz w:val="32"/>
          <w:szCs w:val="32"/>
          <w:shd w:val="clear" w:fill="FFFFFF"/>
        </w:rPr>
        <w:t> </w:t>
      </w:r>
      <w:r>
        <w:rPr>
          <w:rFonts w:hint="eastAsia" w:ascii="微软雅黑" w:hAnsi="微软雅黑" w:eastAsia="微软雅黑" w:cs="微软雅黑"/>
          <w:i w:val="0"/>
          <w:caps w:val="0"/>
          <w:color w:val="000000"/>
          <w:spacing w:val="0"/>
          <w:sz w:val="32"/>
          <w:szCs w:val="32"/>
          <w:shd w:val="clear" w:fill="FFFFFF"/>
        </w:rPr>
        <w:t>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sz w:val="32"/>
          <w:szCs w:val="32"/>
        </w:rPr>
      </w:pPr>
    </w:p>
    <w:sectPr>
      <w:pgSz w:w="11906" w:h="16838"/>
      <w:pgMar w:top="2098" w:right="1474" w:bottom="1984" w:left="1587"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仿宋">
    <w:altName w:val="宋体"/>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F44AA9"/>
    <w:rsid w:val="08E158AA"/>
    <w:rsid w:val="0B5479CE"/>
    <w:rsid w:val="0EE71A77"/>
    <w:rsid w:val="100305F0"/>
    <w:rsid w:val="4C276151"/>
    <w:rsid w:val="50225526"/>
    <w:rsid w:val="59BE4487"/>
    <w:rsid w:val="71F44A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2021-01-18T03:19:00Z</dcterms:created>
  <dc:creator>Pisces♓</dc:creator>
  <cp:lastModifiedBy>Pisces♓</cp:lastModifiedBy>
  <dcterms:modified xsi:type="dcterms:W3CDTF">2021-02-08T07:37:25Z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