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Times New Roman" w:hAnsi="Times New Roman" w:eastAsia="方正小标宋简体" w:cs="方正小标宋简体"/>
          <w:b w:val="0"/>
          <w:bCs/>
          <w:i w:val="0"/>
          <w:caps w:val="0"/>
          <w:color w:val="auto"/>
          <w:spacing w:val="0"/>
          <w:sz w:val="44"/>
          <w:szCs w:val="44"/>
          <w:shd w:val="clear" w:fill="FFFFFF"/>
          <w:lang w:eastAsia="zh-CN"/>
        </w:rPr>
      </w:pPr>
      <w:r>
        <w:rPr>
          <w:rFonts w:hint="eastAsia" w:ascii="Times New Roman" w:hAnsi="Times New Roman" w:eastAsia="方正小标宋简体" w:cs="方正小标宋简体"/>
          <w:b w:val="0"/>
          <w:bCs/>
          <w:i w:val="0"/>
          <w:caps w:val="0"/>
          <w:color w:val="auto"/>
          <w:spacing w:val="-17"/>
          <w:sz w:val="44"/>
          <w:szCs w:val="44"/>
          <w:shd w:val="clear" w:fill="FFFFFF"/>
          <w:lang w:val="en-US" w:eastAsia="zh-CN"/>
        </w:rPr>
        <w:t>淄博市张店区机关事务服务中心</w:t>
      </w:r>
      <w:r>
        <w:rPr>
          <w:rFonts w:hint="default" w:ascii="Times New Roman" w:hAnsi="Times New Roman" w:eastAsia="方正小标宋简体" w:cs="Times New Roman"/>
          <w:b w:val="0"/>
          <w:bCs/>
          <w:i w:val="0"/>
          <w:caps w:val="0"/>
          <w:color w:val="auto"/>
          <w:spacing w:val="-17"/>
          <w:sz w:val="44"/>
          <w:szCs w:val="44"/>
          <w:shd w:val="clear" w:fill="FFFFFF"/>
          <w:lang w:val="en-US" w:eastAsia="zh-CN"/>
        </w:rPr>
        <w:t>202</w:t>
      </w:r>
      <w:r>
        <w:rPr>
          <w:rFonts w:hint="default" w:ascii="Times New Roman" w:hAnsi="Times New Roman" w:eastAsia="方正小标宋简体" w:cs="Times New Roman"/>
          <w:b w:val="0"/>
          <w:bCs/>
          <w:i w:val="0"/>
          <w:caps w:val="0"/>
          <w:color w:val="auto"/>
          <w:spacing w:val="-17"/>
          <w:sz w:val="44"/>
          <w:szCs w:val="44"/>
          <w:shd w:val="clear" w:fill="FFFFFF"/>
          <w:lang w:val="en" w:eastAsia="zh-CN"/>
        </w:rPr>
        <w:t>5</w:t>
      </w:r>
      <w:r>
        <w:rPr>
          <w:rFonts w:hint="eastAsia" w:ascii="Times New Roman" w:hAnsi="Times New Roman" w:eastAsia="方正小标宋简体" w:cs="方正小标宋简体"/>
          <w:b w:val="0"/>
          <w:bCs/>
          <w:i w:val="0"/>
          <w:caps w:val="0"/>
          <w:color w:val="auto"/>
          <w:spacing w:val="-17"/>
          <w:sz w:val="44"/>
          <w:szCs w:val="44"/>
          <w:shd w:val="clear" w:fill="FFFFFF"/>
          <w:lang w:val="en-US" w:eastAsia="zh-CN"/>
        </w:rPr>
        <w:t>年</w:t>
      </w:r>
      <w:r>
        <w:rPr>
          <w:rFonts w:hint="eastAsia" w:ascii="Times New Roman" w:hAnsi="Times New Roman" w:eastAsia="方正小标宋简体" w:cs="方正小标宋简体"/>
          <w:b w:val="0"/>
          <w:bCs/>
          <w:i w:val="0"/>
          <w:caps w:val="0"/>
          <w:color w:val="auto"/>
          <w:spacing w:val="-17"/>
          <w:sz w:val="44"/>
          <w:szCs w:val="44"/>
          <w:shd w:val="clear" w:fill="FFFFFF"/>
        </w:rPr>
        <w:t>政府信息公开工作</w:t>
      </w:r>
      <w:r>
        <w:rPr>
          <w:rFonts w:hint="eastAsia" w:ascii="Times New Roman" w:hAnsi="Times New Roman" w:eastAsia="方正小标宋简体" w:cs="方正小标宋简体"/>
          <w:b w:val="0"/>
          <w:bCs/>
          <w:i w:val="0"/>
          <w:caps w:val="0"/>
          <w:color w:val="auto"/>
          <w:spacing w:val="0"/>
          <w:sz w:val="44"/>
          <w:szCs w:val="44"/>
          <w:shd w:val="clear" w:fill="FFFFFF"/>
        </w:rPr>
        <w:t>年度报告</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Times New Roman" w:hAnsi="Times New Roman" w:eastAsia="宋体" w:cs="宋体"/>
          <w:i w:val="0"/>
          <w:caps w:val="0"/>
          <w:color w:val="auto"/>
          <w:spacing w:val="0"/>
          <w:sz w:val="24"/>
          <w:szCs w:val="24"/>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Times New Roman" w:hAnsi="Times New Roman" w:eastAsia="宋体" w:cs="宋体"/>
          <w:i w:val="0"/>
          <w:caps w:val="0"/>
          <w:color w:val="auto"/>
          <w:spacing w:val="0"/>
          <w:kern w:val="2"/>
          <w:sz w:val="24"/>
          <w:szCs w:val="24"/>
          <w:shd w:val="clear" w:fill="FFFFFF"/>
          <w:lang w:val="en-US" w:eastAsia="zh-CN" w:bidi="ar-SA"/>
        </w:rPr>
      </w:pPr>
      <w:r>
        <w:rPr>
          <w:rFonts w:hint="eastAsia" w:ascii="Times New Roman" w:hAnsi="Times New Roman" w:eastAsia="仿宋_GB2312" w:cs="仿宋_GB2312"/>
          <w:i w:val="0"/>
          <w:caps w:val="0"/>
          <w:color w:val="auto"/>
          <w:spacing w:val="0"/>
          <w:sz w:val="32"/>
          <w:szCs w:val="32"/>
          <w:lang w:eastAsia="zh-CN"/>
        </w:rPr>
        <w:t>本年度报告中所列数据的统计期限自202</w:t>
      </w:r>
      <w:r>
        <w:rPr>
          <w:rFonts w:hint="default" w:ascii="Times New Roman" w:hAnsi="Times New Roman" w:eastAsia="仿宋_GB2312" w:cs="仿宋_GB2312"/>
          <w:i w:val="0"/>
          <w:caps w:val="0"/>
          <w:color w:val="auto"/>
          <w:spacing w:val="0"/>
          <w:sz w:val="32"/>
          <w:szCs w:val="32"/>
          <w:lang w:val="en" w:eastAsia="zh-CN"/>
        </w:rPr>
        <w:t>5</w:t>
      </w:r>
      <w:r>
        <w:rPr>
          <w:rFonts w:hint="eastAsia" w:ascii="Times New Roman" w:hAnsi="Times New Roman" w:eastAsia="仿宋_GB2312" w:cs="仿宋_GB2312"/>
          <w:i w:val="0"/>
          <w:caps w:val="0"/>
          <w:color w:val="auto"/>
          <w:spacing w:val="0"/>
          <w:sz w:val="32"/>
          <w:szCs w:val="32"/>
          <w:lang w:eastAsia="zh-CN"/>
        </w:rPr>
        <w:t>年1月1日起，至202</w:t>
      </w:r>
      <w:r>
        <w:rPr>
          <w:rFonts w:hint="default" w:ascii="Times New Roman" w:hAnsi="Times New Roman" w:eastAsia="仿宋_GB2312" w:cs="仿宋_GB2312"/>
          <w:i w:val="0"/>
          <w:caps w:val="0"/>
          <w:color w:val="auto"/>
          <w:spacing w:val="0"/>
          <w:sz w:val="32"/>
          <w:szCs w:val="32"/>
          <w:lang w:val="en" w:eastAsia="zh-CN"/>
        </w:rPr>
        <w:t>5</w:t>
      </w:r>
      <w:r>
        <w:rPr>
          <w:rFonts w:hint="eastAsia" w:ascii="Times New Roman" w:hAnsi="Times New Roman" w:eastAsia="仿宋_GB2312" w:cs="仿宋_GB2312"/>
          <w:i w:val="0"/>
          <w:caps w:val="0"/>
          <w:color w:val="auto"/>
          <w:spacing w:val="0"/>
          <w:sz w:val="32"/>
          <w:szCs w:val="32"/>
          <w:lang w:eastAsia="zh-CN"/>
        </w:rPr>
        <w:t>年12月31日止。如对报告内容有疑问，请与</w:t>
      </w:r>
      <w:r>
        <w:rPr>
          <w:rFonts w:hint="eastAsia" w:ascii="Times New Roman" w:hAnsi="Times New Roman" w:eastAsia="仿宋_GB2312" w:cs="仿宋_GB2312"/>
          <w:i w:val="0"/>
          <w:caps w:val="0"/>
          <w:color w:val="auto"/>
          <w:spacing w:val="0"/>
          <w:sz w:val="32"/>
          <w:szCs w:val="32"/>
          <w:u w:val="single"/>
          <w:lang w:val="en-US" w:eastAsia="zh-CN"/>
        </w:rPr>
        <w:t>淄博市张店区机关事务服务中心</w:t>
      </w:r>
      <w:r>
        <w:rPr>
          <w:rFonts w:hint="eastAsia" w:ascii="Times New Roman" w:hAnsi="Times New Roman" w:eastAsia="仿宋_GB2312" w:cs="仿宋_GB2312"/>
          <w:i w:val="0"/>
          <w:caps w:val="0"/>
          <w:color w:val="auto"/>
          <w:spacing w:val="0"/>
          <w:sz w:val="32"/>
          <w:szCs w:val="32"/>
          <w:lang w:eastAsia="zh-CN"/>
        </w:rPr>
        <w:t>联系</w:t>
      </w:r>
      <w:r>
        <w:rPr>
          <w:rFonts w:hint="eastAsia" w:ascii="Times New Roman" w:hAnsi="Times New Roman" w:eastAsia="仿宋_GB2312" w:cs="仿宋_GB2312"/>
          <w:i w:val="0"/>
          <w:caps w:val="0"/>
          <w:color w:val="auto"/>
          <w:spacing w:val="0"/>
          <w:sz w:val="32"/>
          <w:szCs w:val="32"/>
          <w:lang w:val="en-US" w:eastAsia="zh-CN"/>
        </w:rPr>
        <w:t>地址：山东省淄博市张店区新村西路226号;邮编:255020;联系电话:0533-2869928;电子邮箱：zdjgsw@163.com）</w:t>
      </w:r>
      <w:r>
        <w:rPr>
          <w:rFonts w:hint="eastAsia" w:ascii="Times New Roman" w:hAnsi="Times New Roman" w:eastAsia="仿宋_GB2312" w:cs="仿宋_GB2312"/>
          <w:i w:val="0"/>
          <w:caps w:val="0"/>
          <w:color w:val="auto"/>
          <w:spacing w:val="0"/>
          <w:sz w:val="32"/>
          <w:szCs w:val="32"/>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left="0" w:right="0" w:firstLine="420"/>
        <w:jc w:val="both"/>
        <w:textAlignment w:val="auto"/>
        <w:rPr>
          <w:rFonts w:hint="eastAsia" w:ascii="Times New Roman" w:hAnsi="Times New Roman" w:eastAsia="黑体" w:cs="黑体"/>
          <w:b w:val="0"/>
          <w:bCs/>
          <w:i w:val="0"/>
          <w:caps w:val="0"/>
          <w:color w:val="auto"/>
          <w:spacing w:val="0"/>
          <w:sz w:val="32"/>
          <w:szCs w:val="32"/>
        </w:rPr>
      </w:pPr>
      <w:r>
        <w:rPr>
          <w:rFonts w:hint="eastAsia" w:ascii="Times New Roman" w:hAnsi="Times New Roman" w:eastAsia="黑体" w:cs="黑体"/>
          <w:b w:val="0"/>
          <w:bCs/>
          <w:i w:val="0"/>
          <w:caps w:val="0"/>
          <w:color w:val="auto"/>
          <w:spacing w:val="0"/>
          <w:sz w:val="32"/>
          <w:szCs w:val="32"/>
          <w:shd w:val="clear" w:fill="FFFFFF"/>
        </w:rPr>
        <w:t>一、总体情况</w:t>
      </w:r>
    </w:p>
    <w:p>
      <w:pPr>
        <w:pStyle w:val="3"/>
        <w:numPr>
          <w:ilvl w:val="0"/>
          <w:numId w:val="0"/>
        </w:numPr>
        <w:ind w:firstLine="640" w:firstLineChars="20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2025年，</w:t>
      </w:r>
      <w:r>
        <w:rPr>
          <w:rFonts w:hint="eastAsia" w:ascii="Times New Roman" w:hAnsi="Times New Roman" w:eastAsia="仿宋_GB2312" w:cs="仿宋_GB2312"/>
          <w:kern w:val="2"/>
          <w:sz w:val="32"/>
          <w:szCs w:val="32"/>
          <w:lang w:val="en-US" w:eastAsia="zh-CN" w:bidi="ar-SA"/>
        </w:rPr>
        <w:t>区机关事务服务中心坚持以习近平新时代中国特色社会主义思想为指导，深入贯彻党的二十大和二十届历次全会精神，认真学习领会习近平总书记关于机关事务工作的重要指示精神，</w:t>
      </w:r>
      <w:r>
        <w:rPr>
          <w:rFonts w:hint="eastAsia" w:ascii="Times New Roman" w:hAnsi="Times New Roman" w:eastAsia="仿宋_GB2312" w:cs="仿宋_GB2312"/>
          <w:color w:val="auto"/>
          <w:sz w:val="32"/>
          <w:szCs w:val="32"/>
          <w:lang w:val="en-US" w:eastAsia="zh-CN"/>
        </w:rPr>
        <w:t>认真贯彻落实《中华人民共和国政府信息公开条例》要求，坚持以人民为中心，聚焦推动以资产管理为基础的机关事务工作高质量发展,围绕“红管家”党建品牌不断深化公开内容，规范公开程序，优化公开流程，扎实推进政府信息公开工作，有效保障了社会公众的知情权、参与权和监督权，提升了机关事务工作的透明度和公信力。</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bCs/>
          <w:color w:val="auto"/>
          <w:sz w:val="32"/>
          <w:szCs w:val="32"/>
          <w:lang w:val="en-US" w:eastAsia="zh-CN"/>
        </w:rPr>
        <w:t>（一）主动公开方面。</w:t>
      </w:r>
      <w:r>
        <w:rPr>
          <w:rFonts w:hint="eastAsia" w:ascii="Times New Roman" w:hAnsi="Times New Roman" w:eastAsia="仿宋_GB2312" w:cs="仿宋_GB2312"/>
          <w:b w:val="0"/>
          <w:bCs w:val="0"/>
          <w:color w:val="auto"/>
          <w:sz w:val="32"/>
          <w:szCs w:val="32"/>
          <w:lang w:val="en-US" w:eastAsia="zh-CN"/>
        </w:rPr>
        <w:t>全年通过张店区人民政府门户网站法定主动公开专栏，累计发布各类政府信息64条。其中，其中履职依据1条、机构职能1条、领导信息1条、会议公开12条、行政权力1条、建议提案1条、财政信息5条、重点领域信息公开2条、政策解读2条、互动交流1条、人事信息3条、业务动态31条、政务公开保障机制3条，夯实了我中心政务公开工作基础，确保信息公开精准规范、及时高效。</w:t>
      </w:r>
      <w:bookmarkStart w:id="0" w:name="_GoBack"/>
      <w:bookmarkEnd w:id="0"/>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b/>
          <w:bCs/>
          <w:color w:val="auto"/>
          <w:sz w:val="32"/>
          <w:szCs w:val="32"/>
          <w:lang w:val="en-US" w:eastAsia="zh-CN"/>
        </w:rPr>
        <w:t>（二）依申请公开工作方面。</w:t>
      </w:r>
      <w:r>
        <w:rPr>
          <w:rFonts w:hint="eastAsia" w:ascii="Times New Roman" w:hAnsi="Times New Roman" w:eastAsia="仿宋_GB2312" w:cs="仿宋_GB2312"/>
          <w:b w:val="0"/>
          <w:bCs w:val="0"/>
          <w:color w:val="auto"/>
          <w:sz w:val="32"/>
          <w:szCs w:val="32"/>
          <w:lang w:val="en-US" w:eastAsia="zh-CN"/>
        </w:rPr>
        <w:t>2025年，区机关事务服务中心未收到政府信息公开申请，申请数量为零，与2024年持平，无增减变化。由于无申请事项，亦未发生因政府信息公开引发的行政复议或行政诉讼案件。</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bCs/>
          <w:color w:val="auto"/>
          <w:sz w:val="32"/>
          <w:szCs w:val="32"/>
          <w:lang w:val="en-US" w:eastAsia="zh-CN"/>
        </w:rPr>
      </w:pPr>
      <w:r>
        <w:rPr>
          <w:rFonts w:hint="eastAsia" w:ascii="Times New Roman" w:hAnsi="Times New Roman" w:eastAsia="仿宋_GB2312" w:cs="仿宋_GB2312"/>
          <w:b/>
          <w:bCs/>
          <w:color w:val="auto"/>
          <w:sz w:val="32"/>
          <w:szCs w:val="32"/>
          <w:lang w:val="en-US" w:eastAsia="zh-CN"/>
        </w:rPr>
        <w:t>（三）政府信息管理方面。</w:t>
      </w:r>
      <w:r>
        <w:rPr>
          <w:rFonts w:hint="eastAsia" w:ascii="Times New Roman" w:hAnsi="Times New Roman" w:eastAsia="仿宋_GB2312" w:cs="仿宋_GB2312"/>
          <w:b w:val="0"/>
          <w:bCs w:val="0"/>
          <w:color w:val="auto"/>
          <w:sz w:val="32"/>
          <w:szCs w:val="32"/>
          <w:lang w:val="en-US" w:eastAsia="zh-CN"/>
        </w:rPr>
        <w:t>一是加强目录建设与动态管理。对照《2025年山东省政务公开效能监测指标体系》和市、区两级工作要求，定期梳理和更新中心政务公开事项标准目录，确保公开事项覆盖全面、分类科学。建立信息发布登记台账，对公开信息实行统一管理。二是强化信息管理流程。严格落实政府信息公开保密审查制度和“三审三校”制度。所有拟公开信息均需经过信息制作科室初审、办公室复审、分管领导终审三道程序，重点审查公开内容是否准确、形式是否规范、时机是否恰当，确保涉密信息不上网、上网信息不涉密。全年未发生因信息公开引发的泄密或失当事件。三是规范性文件管理。对本单位制发的行政规范性文件实行统一登记、统一编号、统一发布。建立现行有效规范性文件库，并及时清理失效文件，在网站上同步更新。</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bCs/>
          <w:color w:val="auto"/>
          <w:sz w:val="32"/>
          <w:szCs w:val="32"/>
          <w:lang w:val="en-US" w:eastAsia="zh-CN"/>
        </w:rPr>
        <w:t>（四）政府信息公开平台建设方面。</w:t>
      </w:r>
      <w:r>
        <w:rPr>
          <w:rFonts w:hint="eastAsia" w:ascii="Times New Roman" w:hAnsi="Times New Roman" w:eastAsia="仿宋_GB2312" w:cs="仿宋_GB2312"/>
          <w:b w:val="0"/>
          <w:bCs w:val="0"/>
          <w:color w:val="auto"/>
          <w:sz w:val="32"/>
          <w:szCs w:val="32"/>
          <w:lang w:val="en-US" w:eastAsia="zh-CN"/>
        </w:rPr>
        <w:t>一是将张店区人民政府门户网站作为信息公开第一平台，根据年度重点工作，优化调整了“履职信息”、“工作动态”等栏目设置，确保栏目清晰、查找便捷。定期检查并清理无效链接和过时信息，确保网站内容准确可用。二是在区政务心、张店市民中心安保服务岗摆放办事指南和联系方式等资料服务办事群，利用一楼大厅LED电子屏和中心信息公告栏，线下做好公共机构节能、公务用车保障等重点领域政府信息主动公开工作，并结合全国</w:t>
      </w:r>
      <w:r>
        <w:rPr>
          <w:rFonts w:hint="eastAsia" w:ascii="Times New Roman" w:hAnsi="Times New Roman" w:eastAsia="仿宋_GB2312" w:cs="仿宋_GB2312"/>
          <w:color w:val="auto"/>
          <w:sz w:val="32"/>
          <w:szCs w:val="32"/>
          <w:lang w:val="en-US" w:eastAsia="zh-CN"/>
        </w:rPr>
        <w:t>公共机构节能宣传周、全国低碳日等活动，</w:t>
      </w:r>
      <w:r>
        <w:rPr>
          <w:rFonts w:hint="eastAsia" w:ascii="Times New Roman" w:hAnsi="Times New Roman" w:eastAsia="仿宋_GB2312" w:cs="仿宋_GB2312"/>
          <w:b w:val="0"/>
          <w:bCs w:val="0"/>
          <w:color w:val="auto"/>
          <w:sz w:val="32"/>
          <w:szCs w:val="32"/>
          <w:lang w:val="en-US" w:eastAsia="zh-CN"/>
        </w:rPr>
        <w:t>现场解答群众关于机关事务工作的咨询，拉近与公众的距离。三是明确网站和线下专区各栏目的维护责任科室和更新频率，纳入日常督查范围，确保各类公开平台内容准确、更新及时、运行稳定。</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bCs/>
          <w:color w:val="auto"/>
          <w:sz w:val="32"/>
          <w:szCs w:val="32"/>
          <w:lang w:val="en-US" w:eastAsia="zh-CN"/>
        </w:rPr>
      </w:pPr>
      <w:r>
        <w:rPr>
          <w:rFonts w:hint="eastAsia" w:ascii="Times New Roman" w:hAnsi="Times New Roman" w:eastAsia="仿宋_GB2312" w:cs="仿宋_GB2312"/>
          <w:b/>
          <w:bCs/>
          <w:color w:val="auto"/>
          <w:sz w:val="32"/>
          <w:szCs w:val="32"/>
          <w:lang w:val="en-US" w:eastAsia="zh-CN"/>
        </w:rPr>
        <w:t>（五）监督保障方面。</w:t>
      </w:r>
      <w:r>
        <w:rPr>
          <w:rFonts w:hint="eastAsia" w:ascii="Times New Roman" w:hAnsi="Times New Roman" w:eastAsia="仿宋_GB2312" w:cs="仿宋_GB2312"/>
          <w:b w:val="0"/>
          <w:bCs w:val="0"/>
          <w:color w:val="auto"/>
          <w:sz w:val="32"/>
          <w:szCs w:val="32"/>
          <w:lang w:val="en-US" w:eastAsia="zh-CN"/>
        </w:rPr>
        <w:t>一是中心党组高度重视政务公开工作，将其纳入年度重点工作筹划部署。明确由中心主要领导负总责，一名副主任分管，办公室作为牵头科室负责具体协调和组织实施，各业务科室设置信息联络员，形成了“分工明确、协同高效”的工作网络。二是指定专人负责信息公开工作，各科室副科长兼职信息员，具体负责信息公开的日常事务。在年度预算中优先安排专项经费，用于保障信息公开平台维护、业务培训、资料印制等工作需要。三是2025年，中心组织或派员参加各级政务公开业务培训3次，其中，派员参加上级系统组织的政务公开业务培训2次。11月17日专门组织召开中心内部政务公开工作培训会，传达全区会议精神，结合《2025年山东省政务公开效能监测指标体系》进行针对性讲解和问题剖析，有效提升了工作人员的业务能力和规范化水平。</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left="0" w:right="0" w:firstLine="420"/>
        <w:jc w:val="both"/>
        <w:textAlignment w:val="auto"/>
        <w:rPr>
          <w:rFonts w:hint="eastAsia" w:ascii="Times New Roman" w:hAnsi="Times New Roman" w:eastAsia="黑体" w:cs="黑体"/>
          <w:b w:val="0"/>
          <w:bCs/>
          <w:i w:val="0"/>
          <w:caps w:val="0"/>
          <w:color w:val="auto"/>
          <w:spacing w:val="0"/>
          <w:sz w:val="32"/>
          <w:szCs w:val="32"/>
          <w:shd w:val="clear" w:fill="FFFFFF"/>
        </w:rPr>
      </w:pPr>
      <w:r>
        <w:rPr>
          <w:rFonts w:hint="eastAsia" w:ascii="Times New Roman" w:hAnsi="Times New Roman" w:eastAsia="黑体" w:cs="黑体"/>
          <w:b w:val="0"/>
          <w:bCs/>
          <w:i w:val="0"/>
          <w:caps w:val="0"/>
          <w:color w:val="auto"/>
          <w:spacing w:val="0"/>
          <w:sz w:val="32"/>
          <w:szCs w:val="32"/>
          <w:shd w:val="clear" w:fill="FFFFFF"/>
        </w:rPr>
        <w:t>二、主动公开政府信息情况</w:t>
      </w:r>
    </w:p>
    <w:tbl>
      <w:tblPr>
        <w:tblStyle w:val="9"/>
        <w:tblW w:w="97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445"/>
        <w:gridCol w:w="2445"/>
        <w:gridCol w:w="2445"/>
        <w:gridCol w:w="24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978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信息内容</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本年制发件数</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本年废止件数</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规章</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行政规范性文件</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default" w:ascii="Times New Roman" w:hAnsi="Times New Roman" w:eastAsia="仿宋_GB2312" w:cs="宋体"/>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978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信息内容</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行政许可</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Calibri"/>
                <w:color w:val="auto"/>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978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信息内容</w:t>
            </w:r>
          </w:p>
        </w:tc>
        <w:tc>
          <w:tcPr>
            <w:tcW w:w="733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行政处罚</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Calibri"/>
                <w:color w:val="auto"/>
                <w:kern w:val="0"/>
                <w:szCs w:val="21"/>
                <w:lang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行政强制</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default"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Calibri"/>
                <w:color w:val="auto"/>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978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信息内容</w:t>
            </w:r>
          </w:p>
        </w:tc>
        <w:tc>
          <w:tcPr>
            <w:tcW w:w="733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79"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auto"/>
                <w:kern w:val="0"/>
                <w:sz w:val="20"/>
                <w:szCs w:val="20"/>
                <w:lang w:val="en-US" w:eastAsia="zh-CN" w:bidi="ar"/>
              </w:rPr>
              <w:t>行政事业性收费</w:t>
            </w:r>
          </w:p>
        </w:tc>
        <w:tc>
          <w:tcPr>
            <w:tcW w:w="733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000000"/>
                <w:kern w:val="0"/>
                <w:sz w:val="21"/>
                <w:szCs w:val="21"/>
                <w:lang w:val="en-US" w:eastAsia="zh-CN" w:bidi="ar-SA"/>
              </w:rPr>
            </w:pPr>
            <w:r>
              <w:rPr>
                <w:rFonts w:hint="eastAsia" w:ascii="Times New Roman" w:hAnsi="Times New Roman" w:eastAsia="仿宋_GB2312" w:cs="Calibri"/>
                <w:color w:val="auto"/>
                <w:kern w:val="0"/>
                <w:szCs w:val="21"/>
                <w:lang w:val="en-US" w:eastAsia="zh-CN"/>
              </w:rPr>
              <w:t>0</w:t>
            </w:r>
          </w:p>
        </w:tc>
      </w:tr>
    </w:tbl>
    <w:p>
      <w:pPr>
        <w:keepNext w:val="0"/>
        <w:keepLines w:val="0"/>
        <w:pageBreakBefore w:val="0"/>
        <w:kinsoku/>
        <w:wordWrap w:val="0"/>
        <w:overflowPunct/>
        <w:topLinePunct w:val="0"/>
        <w:autoSpaceDE/>
        <w:autoSpaceDN/>
        <w:bidi w:val="0"/>
        <w:adjustRightInd/>
        <w:snapToGrid/>
        <w:textAlignment w:val="auto"/>
        <w:rPr>
          <w:rFonts w:hint="eastAsia" w:ascii="Times New Roman" w:hAnsi="Times New Roman" w:eastAsia="黑体" w:cs="黑体"/>
          <w:b w:val="0"/>
          <w:bCs/>
          <w:i w:val="0"/>
          <w:caps w:val="0"/>
          <w:color w:val="auto"/>
          <w:spacing w:val="0"/>
          <w:kern w:val="0"/>
          <w:sz w:val="32"/>
          <w:szCs w:val="32"/>
          <w:shd w:val="clear" w:fill="FFFFFF"/>
          <w:lang w:val="en-US" w:eastAsia="zh-CN" w:bidi="ar"/>
        </w:rPr>
      </w:pPr>
      <w:r>
        <w:rPr>
          <w:rFonts w:hint="eastAsia" w:ascii="Times New Roman" w:hAnsi="Times New Roman" w:eastAsia="黑体" w:cs="黑体"/>
          <w:b w:val="0"/>
          <w:bCs/>
          <w:i w:val="0"/>
          <w:caps w:val="0"/>
          <w:color w:val="auto"/>
          <w:spacing w:val="0"/>
          <w:kern w:val="0"/>
          <w:sz w:val="32"/>
          <w:szCs w:val="32"/>
          <w:shd w:val="clear" w:fill="FFFFFF"/>
          <w:lang w:val="en-US" w:eastAsia="zh-CN" w:bidi="ar"/>
        </w:rPr>
        <w:t>三、收到和处理政府信息公开申请情况</w:t>
      </w:r>
    </w:p>
    <w:tbl>
      <w:tblPr>
        <w:tblStyle w:val="9"/>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ascii="楷体" w:hAnsi="楷体" w:eastAsia="楷体" w:cs="楷体"/>
                <w:color w:val="auto"/>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color w:val="auto"/>
                <w:sz w:val="24"/>
                <w:szCs w:val="24"/>
              </w:rPr>
            </w:pPr>
          </w:p>
        </w:tc>
        <w:tc>
          <w:tcPr>
            <w:tcW w:w="688"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color w:val="auto"/>
                <w:sz w:val="24"/>
                <w:szCs w:val="24"/>
              </w:rPr>
            </w:pPr>
          </w:p>
        </w:tc>
        <w:tc>
          <w:tcPr>
            <w:tcW w:w="68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bidi="ar"/>
              </w:rPr>
              <w:t>其他</w:t>
            </w:r>
          </w:p>
        </w:tc>
        <w:tc>
          <w:tcPr>
            <w:tcW w:w="689"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eastAsiaTheme="minorEastAsia"/>
                <w:color w:val="auto"/>
                <w:sz w:val="24"/>
                <w:szCs w:val="24"/>
                <w:lang w:eastAsia="zh-CN"/>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4163"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（二）部分公开</w:t>
            </w:r>
            <w:r>
              <w:rPr>
                <w:rFonts w:hint="eastAsia" w:ascii="楷体" w:hAnsi="楷体" w:eastAsia="楷体" w:cs="楷体"/>
                <w:color w:val="auto"/>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eastAsiaTheme="minorEastAsia"/>
                <w:color w:val="auto"/>
                <w:sz w:val="24"/>
                <w:szCs w:val="24"/>
                <w:lang w:val="en-US" w:eastAsia="zh-CN"/>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default" w:ascii="宋体"/>
                <w:color w:val="auto"/>
                <w:sz w:val="24"/>
                <w:szCs w:val="24"/>
                <w:lang w:val="en-US"/>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default" w:ascii="宋体"/>
                <w:color w:val="auto"/>
                <w:sz w:val="24"/>
                <w:szCs w:val="24"/>
                <w:lang w:val="en-US"/>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default" w:ascii="宋体"/>
                <w:color w:val="auto"/>
                <w:sz w:val="24"/>
                <w:szCs w:val="24"/>
                <w:lang w:val="en-US"/>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default" w:ascii="宋体"/>
                <w:color w:val="auto"/>
                <w:sz w:val="24"/>
                <w:szCs w:val="24"/>
                <w:lang w:val="en-US"/>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default" w:ascii="宋体"/>
                <w:color w:val="auto"/>
                <w:sz w:val="24"/>
                <w:szCs w:val="24"/>
                <w:lang w:val="en-US"/>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default" w:ascii="宋体"/>
                <w:color w:val="auto"/>
                <w:sz w:val="24"/>
                <w:szCs w:val="24"/>
                <w:lang w:val="en-US"/>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rPr>
            </w:pPr>
            <w:r>
              <w:rPr>
                <w:rFonts w:hint="eastAsia" w:ascii="宋体" w:hAnsi="宋体" w:eastAsia="宋体" w:cs="宋体"/>
                <w:color w:val="auto"/>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restart"/>
            <w:tcBorders>
              <w:top w:val="outset"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rPr>
            </w:pPr>
            <w:r>
              <w:rPr>
                <w:rFonts w:hint="eastAsia" w:ascii="宋体" w:hAnsi="宋体" w:eastAsia="宋体" w:cs="宋体"/>
                <w:color w:val="auto"/>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rPr>
            </w:pPr>
            <w:r>
              <w:rPr>
                <w:rFonts w:hint="eastAsia" w:ascii="宋体" w:hAnsi="宋体" w:eastAsia="宋体" w:cs="宋体"/>
                <w:color w:val="auto"/>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宋体"/>
                <w:color w:val="auto"/>
                <w:sz w:val="24"/>
                <w:szCs w:val="24"/>
              </w:rPr>
            </w:pPr>
          </w:p>
        </w:tc>
        <w:tc>
          <w:tcPr>
            <w:tcW w:w="4163"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bidi="ar"/>
              </w:rPr>
              <w:t>四、结转下年度继续办理</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center"/>
              <w:rPr>
                <w:rFonts w:hint="eastAsia" w:ascii="宋体"/>
                <w:color w:val="auto"/>
                <w:sz w:val="24"/>
                <w:szCs w:val="24"/>
              </w:rPr>
            </w:pPr>
            <w:r>
              <w:rPr>
                <w:rFonts w:hint="eastAsia" w:ascii="宋体"/>
                <w:color w:val="auto"/>
                <w:sz w:val="24"/>
                <w:szCs w:val="24"/>
                <w:lang w:val="en-US" w:eastAsia="zh-CN"/>
              </w:rPr>
              <w:t>0</w:t>
            </w:r>
          </w:p>
        </w:tc>
      </w:tr>
    </w:tbl>
    <w:p>
      <w:pPr>
        <w:keepNext w:val="0"/>
        <w:keepLines w:val="0"/>
        <w:pageBreakBefore w:val="0"/>
        <w:kinsoku/>
        <w:wordWrap w:val="0"/>
        <w:overflowPunct/>
        <w:topLinePunct w:val="0"/>
        <w:autoSpaceDE/>
        <w:autoSpaceDN/>
        <w:bidi w:val="0"/>
        <w:adjustRightInd/>
        <w:snapToGrid/>
        <w:textAlignment w:val="auto"/>
        <w:rPr>
          <w:rFonts w:hint="eastAsia" w:ascii="Times New Roman" w:hAnsi="Times New Roman" w:eastAsia="黑体" w:cs="黑体"/>
          <w:b w:val="0"/>
          <w:bCs/>
          <w:i w:val="0"/>
          <w:caps w:val="0"/>
          <w:color w:val="auto"/>
          <w:spacing w:val="0"/>
          <w:kern w:val="0"/>
          <w:sz w:val="32"/>
          <w:szCs w:val="32"/>
          <w:shd w:val="clear" w:fill="FFFFFF"/>
          <w:lang w:val="en-US" w:eastAsia="zh-CN" w:bidi="ar"/>
        </w:rPr>
      </w:pPr>
      <w:r>
        <w:rPr>
          <w:rFonts w:hint="eastAsia" w:ascii="Times New Roman" w:hAnsi="Times New Roman" w:eastAsia="黑体" w:cs="黑体"/>
          <w:b w:val="0"/>
          <w:bCs/>
          <w:i w:val="0"/>
          <w:caps w:val="0"/>
          <w:color w:val="auto"/>
          <w:spacing w:val="0"/>
          <w:kern w:val="0"/>
          <w:sz w:val="32"/>
          <w:szCs w:val="32"/>
          <w:shd w:val="clear" w:fill="FFFFFF"/>
          <w:lang w:val="en-US" w:eastAsia="zh-CN" w:bidi="ar"/>
        </w:rPr>
        <w:t>四、政府信息公开行政复议、行政诉讼情况</w:t>
      </w:r>
    </w:p>
    <w:tbl>
      <w:tblPr>
        <w:tblStyle w:val="9"/>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结果</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其他</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尚未</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color w:val="auto"/>
                <w:sz w:val="24"/>
                <w:szCs w:val="24"/>
              </w:rPr>
            </w:pPr>
          </w:p>
        </w:tc>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color w:val="auto"/>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color w:val="auto"/>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color w:val="auto"/>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color w:val="auto"/>
                <w:sz w:val="24"/>
                <w:szCs w:val="24"/>
              </w:rPr>
            </w:pP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结果</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结果</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其他</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尚未</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结果</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结果</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其他</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尚未</w:t>
            </w:r>
            <w:r>
              <w:rPr>
                <w:rFonts w:hint="eastAsia" w:ascii="宋体" w:hAnsi="宋体" w:eastAsia="宋体" w:cs="宋体"/>
                <w:color w:val="auto"/>
                <w:kern w:val="0"/>
                <w:sz w:val="20"/>
                <w:szCs w:val="20"/>
                <w:lang w:val="en-US" w:eastAsia="zh-CN" w:bidi="ar"/>
              </w:rPr>
              <w:br w:type="textWrapping"/>
            </w:r>
            <w:r>
              <w:rPr>
                <w:rFonts w:hint="eastAsia" w:ascii="宋体" w:hAnsi="宋体" w:eastAsia="宋体" w:cs="宋体"/>
                <w:color w:val="auto"/>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c>
          <w:tcPr>
            <w:tcW w:w="6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宋体"/>
                <w:color w:val="auto"/>
                <w:sz w:val="24"/>
                <w:szCs w:val="24"/>
              </w:rPr>
            </w:pPr>
            <w:r>
              <w:rPr>
                <w:rFonts w:hint="eastAsia" w:ascii="宋体"/>
                <w:color w:val="auto"/>
                <w:sz w:val="24"/>
                <w:szCs w:val="24"/>
                <w:lang w:eastAsia="zh-CN"/>
              </w:rPr>
              <w:t>0</w:t>
            </w:r>
          </w:p>
        </w:tc>
      </w:tr>
    </w:tbl>
    <w:p>
      <w:pPr>
        <w:keepNext w:val="0"/>
        <w:keepLines w:val="0"/>
        <w:pageBreakBefore w:val="0"/>
        <w:kinsoku/>
        <w:wordWrap w:val="0"/>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s="宋体"/>
          <w:i w:val="0"/>
          <w:caps w:val="0"/>
          <w:color w:val="FF0000"/>
          <w:spacing w:val="0"/>
          <w:sz w:val="24"/>
          <w:szCs w:val="24"/>
          <w:shd w:val="clear" w:fill="FFFFFF"/>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left="0" w:right="0" w:firstLine="420"/>
        <w:jc w:val="both"/>
        <w:textAlignment w:val="auto"/>
        <w:rPr>
          <w:rFonts w:hint="eastAsia" w:ascii="Times New Roman" w:hAnsi="Times New Roman" w:eastAsia="黑体" w:cs="黑体"/>
          <w:b w:val="0"/>
          <w:bCs/>
          <w:i w:val="0"/>
          <w:caps w:val="0"/>
          <w:color w:val="333333"/>
          <w:spacing w:val="0"/>
          <w:kern w:val="0"/>
          <w:sz w:val="32"/>
          <w:szCs w:val="32"/>
          <w:shd w:val="clear" w:fill="FFFFFF"/>
          <w:lang w:val="en-US" w:eastAsia="zh-CN" w:bidi="ar"/>
        </w:rPr>
      </w:pPr>
      <w:r>
        <w:rPr>
          <w:rFonts w:hint="eastAsia" w:ascii="Times New Roman" w:hAnsi="Times New Roman" w:eastAsia="黑体" w:cs="黑体"/>
          <w:b w:val="0"/>
          <w:bCs/>
          <w:i w:val="0"/>
          <w:caps w:val="0"/>
          <w:color w:val="auto"/>
          <w:spacing w:val="0"/>
          <w:kern w:val="0"/>
          <w:sz w:val="32"/>
          <w:szCs w:val="32"/>
          <w:shd w:val="clear" w:fill="FFFFFF"/>
          <w:lang w:val="en-US" w:eastAsia="zh-CN" w:bidi="ar"/>
        </w:rPr>
        <w:t>五、存在的主要问题及改进情况</w:t>
      </w:r>
    </w:p>
    <w:p>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Times New Roman" w:hAnsi="Times New Roman" w:eastAsia="仿宋_GB2312" w:cs="仿宋_GB2312"/>
          <w:color w:val="auto"/>
          <w:kern w:val="2"/>
          <w:sz w:val="32"/>
          <w:szCs w:val="32"/>
          <w:lang w:val="en-US" w:eastAsia="zh-CN" w:bidi="ar-SA"/>
        </w:rPr>
      </w:pPr>
      <w:r>
        <w:rPr>
          <w:rFonts w:hint="eastAsia" w:ascii="Times New Roman" w:hAnsi="Times New Roman" w:eastAsia="仿宋_GB2312" w:cs="仿宋_GB2312"/>
          <w:b/>
          <w:bCs/>
          <w:color w:val="auto"/>
          <w:kern w:val="2"/>
          <w:sz w:val="32"/>
          <w:szCs w:val="32"/>
          <w:lang w:val="en-US" w:eastAsia="zh-CN" w:bidi="ar-SA"/>
        </w:rPr>
        <w:t>（一）政策文件栏目中存在公开信息内图片失效的问题。</w:t>
      </w:r>
      <w:r>
        <w:rPr>
          <w:rFonts w:hint="eastAsia" w:ascii="Times New Roman" w:hAnsi="Times New Roman" w:eastAsia="仿宋_GB2312" w:cs="仿宋_GB2312"/>
          <w:color w:val="auto"/>
          <w:kern w:val="2"/>
          <w:sz w:val="32"/>
          <w:szCs w:val="32"/>
          <w:lang w:val="en-US" w:eastAsia="zh-CN" w:bidi="ar-SA"/>
        </w:rPr>
        <w:t>接到反馈后，中心立即组织核查，第一时间完成失效图片的替换，并将处理情况及时上报，确保公开内容完整、准确、可读。</w:t>
      </w:r>
    </w:p>
    <w:p>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Times New Roman" w:hAnsi="Times New Roman" w:eastAsia="仿宋_GB2312" w:cs="仿宋_GB2312"/>
          <w:color w:val="auto"/>
          <w:kern w:val="2"/>
          <w:sz w:val="32"/>
          <w:szCs w:val="32"/>
          <w:lang w:val="en-US" w:eastAsia="zh-CN" w:bidi="ar-SA"/>
        </w:rPr>
      </w:pPr>
      <w:r>
        <w:rPr>
          <w:rFonts w:hint="eastAsia" w:ascii="Times New Roman" w:hAnsi="Times New Roman" w:eastAsia="仿宋_GB2312" w:cs="仿宋_GB2312"/>
          <w:b/>
          <w:bCs/>
          <w:color w:val="auto"/>
          <w:kern w:val="2"/>
          <w:sz w:val="32"/>
          <w:szCs w:val="32"/>
          <w:lang w:val="en-US" w:eastAsia="zh-CN" w:bidi="ar-SA"/>
        </w:rPr>
        <w:t>（二）重点领域信息公开栏目更新不及时的问题。</w:t>
      </w:r>
      <w:r>
        <w:rPr>
          <w:rFonts w:hint="eastAsia" w:ascii="Times New Roman" w:hAnsi="Times New Roman" w:eastAsia="仿宋_GB2312" w:cs="仿宋_GB2312"/>
          <w:color w:val="auto"/>
          <w:kern w:val="2"/>
          <w:sz w:val="32"/>
          <w:szCs w:val="32"/>
          <w:lang w:val="en-US" w:eastAsia="zh-CN" w:bidi="ar-SA"/>
        </w:rPr>
        <w:t>中心第一时间完成内容补充与更新，并以此为契机，对网站其他栏目开展全面自查，系统梳理信息更新情况。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240" w:lineRule="auto"/>
        <w:ind w:left="0" w:right="0" w:firstLine="420"/>
        <w:jc w:val="both"/>
        <w:textAlignment w:val="auto"/>
        <w:rPr>
          <w:rFonts w:hint="eastAsia" w:ascii="Times New Roman" w:hAnsi="Times New Roman" w:eastAsia="黑体" w:cs="黑体"/>
          <w:b w:val="0"/>
          <w:bCs/>
          <w:i w:val="0"/>
          <w:caps w:val="0"/>
          <w:color w:val="auto"/>
          <w:spacing w:val="0"/>
          <w:kern w:val="0"/>
          <w:sz w:val="32"/>
          <w:szCs w:val="32"/>
          <w:shd w:val="clear" w:fill="FFFFFF"/>
          <w:lang w:val="en-US" w:eastAsia="zh-CN" w:bidi="ar"/>
        </w:rPr>
      </w:pPr>
      <w:r>
        <w:rPr>
          <w:rFonts w:hint="eastAsia" w:ascii="Times New Roman" w:hAnsi="Times New Roman" w:eastAsia="黑体" w:cs="黑体"/>
          <w:b w:val="0"/>
          <w:bCs/>
          <w:i w:val="0"/>
          <w:caps w:val="0"/>
          <w:color w:val="auto"/>
          <w:spacing w:val="0"/>
          <w:kern w:val="0"/>
          <w:sz w:val="32"/>
          <w:szCs w:val="32"/>
          <w:shd w:val="clear" w:fill="FFFFFF"/>
          <w:lang w:val="en-US" w:eastAsia="zh-CN" w:bidi="ar"/>
        </w:rPr>
        <w:t>六、其他需要报告的事项</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bCs/>
          <w:color w:val="auto"/>
          <w:sz w:val="32"/>
          <w:szCs w:val="32"/>
          <w:lang w:val="en-US" w:eastAsia="zh-CN"/>
        </w:rPr>
      </w:pPr>
      <w:r>
        <w:rPr>
          <w:rFonts w:hint="eastAsia" w:ascii="Times New Roman" w:hAnsi="Times New Roman" w:eastAsia="仿宋_GB2312" w:cs="仿宋_GB2312"/>
          <w:b/>
          <w:bCs/>
          <w:color w:val="auto"/>
          <w:sz w:val="32"/>
          <w:szCs w:val="32"/>
          <w:lang w:val="en-US" w:eastAsia="zh-CN"/>
        </w:rPr>
        <w:t>（一）依据《政府信息公开信息处理费管理办法》收取信息处理费的情况。</w:t>
      </w:r>
      <w:r>
        <w:rPr>
          <w:rFonts w:hint="eastAsia" w:ascii="Times New Roman" w:hAnsi="Times New Roman" w:eastAsia="仿宋_GB2312" w:cs="仿宋_GB2312"/>
          <w:b w:val="0"/>
          <w:bCs w:val="0"/>
          <w:color w:val="auto"/>
          <w:sz w:val="32"/>
          <w:szCs w:val="32"/>
          <w:lang w:val="en-US" w:eastAsia="zh-CN"/>
        </w:rPr>
        <w:t>2025年度，中心未收到任何政府信息公开申请，亦未发生与依申请公开相关的信息处理费用。</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b/>
          <w:bCs/>
          <w:color w:val="auto"/>
          <w:sz w:val="32"/>
          <w:szCs w:val="32"/>
          <w:lang w:val="en-US" w:eastAsia="zh-CN"/>
        </w:rPr>
        <w:t>（二）本年度人大代表建议和政协委员提案办理情况。</w:t>
      </w:r>
      <w:r>
        <w:rPr>
          <w:rFonts w:hint="eastAsia" w:ascii="Times New Roman" w:hAnsi="Times New Roman" w:eastAsia="仿宋_GB2312" w:cs="仿宋_GB2312"/>
          <w:color w:val="auto"/>
          <w:sz w:val="32"/>
          <w:szCs w:val="32"/>
          <w:lang w:val="en-US" w:eastAsia="zh-CN"/>
        </w:rPr>
        <w:t>2025年，区机关事务服务中心共收到人大代表建议0条、政协委员提案0件。</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bCs/>
          <w:color w:val="auto"/>
          <w:sz w:val="32"/>
          <w:szCs w:val="32"/>
          <w:highlight w:val="none"/>
          <w:lang w:val="en-US" w:eastAsia="zh-CN"/>
        </w:rPr>
      </w:pPr>
      <w:r>
        <w:rPr>
          <w:rFonts w:hint="eastAsia" w:ascii="Times New Roman" w:hAnsi="Times New Roman" w:eastAsia="仿宋_GB2312" w:cs="仿宋_GB2312"/>
          <w:b/>
          <w:bCs/>
          <w:color w:val="auto"/>
          <w:sz w:val="32"/>
          <w:szCs w:val="32"/>
          <w:lang w:val="en-US" w:eastAsia="zh-CN"/>
        </w:rPr>
        <w:t>（三）本单位在政务公开制度、内容、形式和平台建设方面的创新实践情况。</w:t>
      </w:r>
      <w:r>
        <w:rPr>
          <w:rFonts w:hint="eastAsia" w:ascii="Times New Roman" w:hAnsi="Times New Roman" w:eastAsia="仿宋_GB2312" w:cs="仿宋_GB2312"/>
          <w:b w:val="0"/>
          <w:bCs w:val="0"/>
          <w:color w:val="auto"/>
          <w:sz w:val="32"/>
          <w:szCs w:val="32"/>
          <w:lang w:val="en-US" w:eastAsia="zh-CN"/>
        </w:rPr>
        <w:t>一是加强机关事务工作宣传，2025年在山东省机关事务管理局政府网站等市级以上媒体平台刊发稿件</w:t>
      </w:r>
      <w:r>
        <w:rPr>
          <w:rFonts w:hint="eastAsia" w:ascii="Times New Roman" w:hAnsi="Times New Roman" w:eastAsia="仿宋_GB2312" w:cs="仿宋_GB2312"/>
          <w:b w:val="0"/>
          <w:bCs w:val="0"/>
          <w:color w:val="auto"/>
          <w:sz w:val="32"/>
          <w:szCs w:val="32"/>
          <w:highlight w:val="none"/>
          <w:lang w:val="en-US" w:eastAsia="zh-CN"/>
        </w:rPr>
        <w:t>11</w:t>
      </w:r>
      <w:r>
        <w:rPr>
          <w:rFonts w:hint="eastAsia" w:ascii="Times New Roman" w:hAnsi="Times New Roman" w:eastAsia="仿宋_GB2312" w:cs="仿宋_GB2312"/>
          <w:b w:val="0"/>
          <w:bCs w:val="0"/>
          <w:color w:val="auto"/>
          <w:sz w:val="32"/>
          <w:szCs w:val="32"/>
          <w:lang w:val="en-US" w:eastAsia="zh-CN"/>
        </w:rPr>
        <w:t>篇，全面展示我区机关事务管理成效与创新实践。</w:t>
      </w:r>
      <w:r>
        <w:rPr>
          <w:rFonts w:hint="eastAsia" w:ascii="仿宋_GB2312" w:hAnsi="仿宋_GB2312" w:eastAsia="仿宋_GB2312" w:cs="仿宋_GB2312"/>
          <w:b w:val="0"/>
          <w:bCs/>
          <w:i w:val="0"/>
          <w:caps w:val="0"/>
          <w:color w:val="333333"/>
          <w:spacing w:val="0"/>
          <w:kern w:val="0"/>
          <w:sz w:val="32"/>
          <w:szCs w:val="32"/>
          <w:shd w:val="clear" w:fill="FFFFFF"/>
          <w:lang w:val="en-US" w:eastAsia="zh-CN" w:bidi="ar"/>
        </w:rPr>
        <w:t>二是在2025年全国公共机构节能宣传周期间，中心积极组织全区公共机构并广泛动员社会公众参与淄博市生活垃圾分类知识竞赛活动，及时公开中奖名单，确保活动透明公正。活动期间吸引3000余人次在线答题，有效发挥了公共机构在生活垃圾分类中的示范带头作用，显著提升了社会公众的参与意识和积极性。</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仿宋_GB2312" w:cs="仿宋_GB2312"/>
          <w:b/>
          <w:bCs/>
          <w:color w:val="auto"/>
          <w:sz w:val="32"/>
          <w:szCs w:val="32"/>
          <w:highlight w:val="none"/>
          <w:lang w:val="en-US" w:eastAsia="zh-CN"/>
        </w:rPr>
        <w:t>（四）《2025年张店区政务公开工作要点分工方案》落实情况。</w:t>
      </w:r>
      <w:r>
        <w:rPr>
          <w:rFonts w:hint="eastAsia" w:ascii="Times New Roman" w:hAnsi="Times New Roman" w:eastAsia="仿宋_GB2312" w:cs="仿宋_GB2312"/>
          <w:b w:val="0"/>
          <w:bCs w:val="0"/>
          <w:color w:val="auto"/>
          <w:sz w:val="32"/>
          <w:szCs w:val="32"/>
          <w:highlight w:val="none"/>
          <w:lang w:val="en-US" w:eastAsia="zh-CN"/>
        </w:rPr>
        <w:t>一是动态优化主动公开目录，夯实“管业务就要管公开”基础。对照法律法规及机构职能变化，修订发布《张店区机关事务服务中心政府信息主动公开目录（2025年版）》，细化办公用房管理、公务用车配置、公共机构节能、政府采购等6类17项公开事项，并将公开要求嵌入业务办理流程，实现业务开展与信息公开同步部署、同步落实。二是强化公众参与，提升机关事务透明度。结合全国节能宣传周，组织垃圾分类知识竞赛并公布中奖名单，吸引3000余人参与，有效增强政策传播力和公众参与感。三是规范平台运维管理，保障公开内容安全准确。严格落实政府网站和政务新媒体日常监管制度，定期开展内容巡检，及时修复政策文件栏目中失效图片、更新“工作动态”等栏目信息。四是规范服务采购信息公开，提升公开质效。</w:t>
      </w:r>
      <w:r>
        <w:rPr>
          <w:rFonts w:hint="default" w:ascii="Times New Roman" w:hAnsi="Times New Roman" w:eastAsia="仿宋_GB2312" w:cs="仿宋_GB2312"/>
          <w:b w:val="0"/>
          <w:bCs w:val="0"/>
          <w:color w:val="auto"/>
          <w:sz w:val="32"/>
          <w:szCs w:val="32"/>
          <w:highlight w:val="none"/>
          <w:lang w:val="en-US" w:eastAsia="zh-CN"/>
        </w:rPr>
        <w:t>作为招标人或采购方，在负责的机关物业、安保、大型维修等后勤服务采购项目中，严格落实规范招投标信息公开的要求。所有依法必须公开的招标公告、中标结果等信息，均在指定平台及时、完整、规范发布，载明了监督部门，主动接受社会监督，以公开强化内部管理和外部监督。</w:t>
      </w:r>
    </w:p>
    <w:sectPr>
      <w:footerReference r:id="rId3" w:type="default"/>
      <w:pgSz w:w="11906" w:h="16838"/>
      <w:pgMar w:top="2098" w:right="1474" w:bottom="1984"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mNzVjZTcyNDEyM2M5MmMyNWExOTUwMWYyYmY5MzAifQ=="/>
  </w:docVars>
  <w:rsids>
    <w:rsidRoot w:val="11AF18C8"/>
    <w:rsid w:val="0D4D54AE"/>
    <w:rsid w:val="0D72249E"/>
    <w:rsid w:val="0FB001CE"/>
    <w:rsid w:val="11AF18C8"/>
    <w:rsid w:val="141D2158"/>
    <w:rsid w:val="14A02B65"/>
    <w:rsid w:val="1A6A77C7"/>
    <w:rsid w:val="1EEF9D2B"/>
    <w:rsid w:val="1EF567A3"/>
    <w:rsid w:val="1EFED2BC"/>
    <w:rsid w:val="1F6FA78F"/>
    <w:rsid w:val="1F97332B"/>
    <w:rsid w:val="1FFB391B"/>
    <w:rsid w:val="1FFDEF3C"/>
    <w:rsid w:val="267A2F26"/>
    <w:rsid w:val="297FAC76"/>
    <w:rsid w:val="2DA7DE71"/>
    <w:rsid w:val="2DF97147"/>
    <w:rsid w:val="2F2B4AFB"/>
    <w:rsid w:val="2F3F7887"/>
    <w:rsid w:val="2F6F1AFF"/>
    <w:rsid w:val="2FAD00FC"/>
    <w:rsid w:val="2FD1CCE0"/>
    <w:rsid w:val="2FFFE3B9"/>
    <w:rsid w:val="33FFB2B4"/>
    <w:rsid w:val="33FFC301"/>
    <w:rsid w:val="342F2840"/>
    <w:rsid w:val="3567E435"/>
    <w:rsid w:val="37699AAC"/>
    <w:rsid w:val="37F7E421"/>
    <w:rsid w:val="39FF13E5"/>
    <w:rsid w:val="3AF2D530"/>
    <w:rsid w:val="3BBB6E46"/>
    <w:rsid w:val="3BFD91A4"/>
    <w:rsid w:val="3C7E7E4E"/>
    <w:rsid w:val="3DEE7C01"/>
    <w:rsid w:val="3EF6348E"/>
    <w:rsid w:val="3EFB61AD"/>
    <w:rsid w:val="3F37CDAB"/>
    <w:rsid w:val="3F7644E0"/>
    <w:rsid w:val="3F7FE9C5"/>
    <w:rsid w:val="3F9FBD48"/>
    <w:rsid w:val="3FAF0AAB"/>
    <w:rsid w:val="3FB6ADE4"/>
    <w:rsid w:val="3FBDE484"/>
    <w:rsid w:val="3FBF62C6"/>
    <w:rsid w:val="3FD79AE0"/>
    <w:rsid w:val="3FDFF999"/>
    <w:rsid w:val="3FFF26B4"/>
    <w:rsid w:val="42D3B604"/>
    <w:rsid w:val="48FF5436"/>
    <w:rsid w:val="4B9E1E6A"/>
    <w:rsid w:val="4B9FE3C2"/>
    <w:rsid w:val="4BC9F5B5"/>
    <w:rsid w:val="4DEDA4D5"/>
    <w:rsid w:val="4DFD3EAA"/>
    <w:rsid w:val="4EDA594B"/>
    <w:rsid w:val="4FDFB8AE"/>
    <w:rsid w:val="4FEFE2F2"/>
    <w:rsid w:val="4FFBBC6E"/>
    <w:rsid w:val="506F30FD"/>
    <w:rsid w:val="54FBE57F"/>
    <w:rsid w:val="55BDBFC2"/>
    <w:rsid w:val="567444B5"/>
    <w:rsid w:val="56FB4B67"/>
    <w:rsid w:val="57478A97"/>
    <w:rsid w:val="57AB6C62"/>
    <w:rsid w:val="57D7056B"/>
    <w:rsid w:val="57F63C1D"/>
    <w:rsid w:val="59DFD1AD"/>
    <w:rsid w:val="59FC080A"/>
    <w:rsid w:val="59FDCAFB"/>
    <w:rsid w:val="59FDDC8B"/>
    <w:rsid w:val="5ABF35A0"/>
    <w:rsid w:val="5ABF657F"/>
    <w:rsid w:val="5AF7DF0E"/>
    <w:rsid w:val="5BFFFB06"/>
    <w:rsid w:val="5DBFF7BB"/>
    <w:rsid w:val="5DEBC819"/>
    <w:rsid w:val="5DEF33E6"/>
    <w:rsid w:val="5DFDAE03"/>
    <w:rsid w:val="5EFF46B3"/>
    <w:rsid w:val="5F4F50E3"/>
    <w:rsid w:val="5F586D45"/>
    <w:rsid w:val="5F6A595A"/>
    <w:rsid w:val="5F7D608F"/>
    <w:rsid w:val="5FAF2704"/>
    <w:rsid w:val="5FCF4F74"/>
    <w:rsid w:val="5FFC97AA"/>
    <w:rsid w:val="5FFE7671"/>
    <w:rsid w:val="640A5F1B"/>
    <w:rsid w:val="645F063B"/>
    <w:rsid w:val="65ECF1BF"/>
    <w:rsid w:val="663FF422"/>
    <w:rsid w:val="6698303C"/>
    <w:rsid w:val="676547E9"/>
    <w:rsid w:val="679E5140"/>
    <w:rsid w:val="67BA5745"/>
    <w:rsid w:val="67E43B26"/>
    <w:rsid w:val="67F29ACA"/>
    <w:rsid w:val="697E7356"/>
    <w:rsid w:val="69D3BD7E"/>
    <w:rsid w:val="69FDEC77"/>
    <w:rsid w:val="6B2DDFAE"/>
    <w:rsid w:val="6B887A32"/>
    <w:rsid w:val="6BEF68BF"/>
    <w:rsid w:val="6DD37989"/>
    <w:rsid w:val="6DFF5019"/>
    <w:rsid w:val="6FAC3CC5"/>
    <w:rsid w:val="6FFA3357"/>
    <w:rsid w:val="72EF1E50"/>
    <w:rsid w:val="74CBDF4F"/>
    <w:rsid w:val="74DC48C7"/>
    <w:rsid w:val="75B7D147"/>
    <w:rsid w:val="75EF4115"/>
    <w:rsid w:val="75FF6493"/>
    <w:rsid w:val="76D35A89"/>
    <w:rsid w:val="77181135"/>
    <w:rsid w:val="77AFA716"/>
    <w:rsid w:val="77D0B492"/>
    <w:rsid w:val="77DBAFEE"/>
    <w:rsid w:val="77DDA94D"/>
    <w:rsid w:val="77F788A5"/>
    <w:rsid w:val="77FB2453"/>
    <w:rsid w:val="77FF16EB"/>
    <w:rsid w:val="79EF8452"/>
    <w:rsid w:val="79F145A3"/>
    <w:rsid w:val="79F7DD72"/>
    <w:rsid w:val="7A5F3BC1"/>
    <w:rsid w:val="7A7F5900"/>
    <w:rsid w:val="7AFF3652"/>
    <w:rsid w:val="7BBE7574"/>
    <w:rsid w:val="7BF565BA"/>
    <w:rsid w:val="7DB1BF67"/>
    <w:rsid w:val="7DEF83EB"/>
    <w:rsid w:val="7DFE5BF9"/>
    <w:rsid w:val="7DFFFB21"/>
    <w:rsid w:val="7E2F1AA9"/>
    <w:rsid w:val="7EDFCB2D"/>
    <w:rsid w:val="7F1FD345"/>
    <w:rsid w:val="7F4F628D"/>
    <w:rsid w:val="7F51DC5A"/>
    <w:rsid w:val="7F67750F"/>
    <w:rsid w:val="7F7D9FD8"/>
    <w:rsid w:val="7F7DB70C"/>
    <w:rsid w:val="7F7F00C0"/>
    <w:rsid w:val="7FAE99D6"/>
    <w:rsid w:val="7FAF0AA5"/>
    <w:rsid w:val="7FAFEE82"/>
    <w:rsid w:val="7FD52939"/>
    <w:rsid w:val="7FD601A3"/>
    <w:rsid w:val="7FDBE409"/>
    <w:rsid w:val="7FE136D8"/>
    <w:rsid w:val="7FE33C58"/>
    <w:rsid w:val="7FEA594E"/>
    <w:rsid w:val="7FEEB283"/>
    <w:rsid w:val="7FEFDACA"/>
    <w:rsid w:val="7FF3C5F5"/>
    <w:rsid w:val="7FF687BD"/>
    <w:rsid w:val="7FFB7FD5"/>
    <w:rsid w:val="7FFD5E27"/>
    <w:rsid w:val="7FFF5995"/>
    <w:rsid w:val="7FFF5F2A"/>
    <w:rsid w:val="8CE3C832"/>
    <w:rsid w:val="937FF006"/>
    <w:rsid w:val="9BED0BAC"/>
    <w:rsid w:val="9BFA0E74"/>
    <w:rsid w:val="9BFFF7EF"/>
    <w:rsid w:val="9EF5BCA0"/>
    <w:rsid w:val="9F7FF7AB"/>
    <w:rsid w:val="9F9F6465"/>
    <w:rsid w:val="A6EC7140"/>
    <w:rsid w:val="AFFE0488"/>
    <w:rsid w:val="B06F583F"/>
    <w:rsid w:val="B1FF84B5"/>
    <w:rsid w:val="B3F55B34"/>
    <w:rsid w:val="B4FD23C0"/>
    <w:rsid w:val="B7531CC1"/>
    <w:rsid w:val="B7BDA605"/>
    <w:rsid w:val="B7E713BB"/>
    <w:rsid w:val="B7FD55C5"/>
    <w:rsid w:val="B9D665D3"/>
    <w:rsid w:val="BA1AFE2A"/>
    <w:rsid w:val="BADFBF21"/>
    <w:rsid w:val="BB9F4788"/>
    <w:rsid w:val="BBB72A76"/>
    <w:rsid w:val="BBF6167E"/>
    <w:rsid w:val="BC773C7A"/>
    <w:rsid w:val="BCCA878B"/>
    <w:rsid w:val="BD17DCC4"/>
    <w:rsid w:val="BE1A4601"/>
    <w:rsid w:val="BEBBD86C"/>
    <w:rsid w:val="BEFB5364"/>
    <w:rsid w:val="BEFEB8D8"/>
    <w:rsid w:val="BF3F4EDD"/>
    <w:rsid w:val="BF9CA563"/>
    <w:rsid w:val="BFA4314D"/>
    <w:rsid w:val="BFCDB3D4"/>
    <w:rsid w:val="BFCE6BBB"/>
    <w:rsid w:val="BFCFD74B"/>
    <w:rsid w:val="BFD9F1B6"/>
    <w:rsid w:val="BFEE1E23"/>
    <w:rsid w:val="BFFB7E30"/>
    <w:rsid w:val="BFFF1E60"/>
    <w:rsid w:val="BFFF632F"/>
    <w:rsid w:val="BFFF6FDD"/>
    <w:rsid w:val="C7DAC264"/>
    <w:rsid w:val="CBFFD682"/>
    <w:rsid w:val="CE7E936C"/>
    <w:rsid w:val="CFCF6E7C"/>
    <w:rsid w:val="CFEE1893"/>
    <w:rsid w:val="CFEF45BC"/>
    <w:rsid w:val="D169A40B"/>
    <w:rsid w:val="D3F79759"/>
    <w:rsid w:val="D4FA0C26"/>
    <w:rsid w:val="D749D24F"/>
    <w:rsid w:val="D7B9167B"/>
    <w:rsid w:val="DAEFFD6D"/>
    <w:rsid w:val="DB7F579F"/>
    <w:rsid w:val="DBE9D810"/>
    <w:rsid w:val="DBF81840"/>
    <w:rsid w:val="DBFFB4A6"/>
    <w:rsid w:val="DDE6AEB6"/>
    <w:rsid w:val="DDE7507C"/>
    <w:rsid w:val="DDF61B0D"/>
    <w:rsid w:val="DE2FBA7D"/>
    <w:rsid w:val="DE7FF687"/>
    <w:rsid w:val="DEDFFAA1"/>
    <w:rsid w:val="DF7F1EB8"/>
    <w:rsid w:val="DF7FDB36"/>
    <w:rsid w:val="DF9EBCDA"/>
    <w:rsid w:val="DFA799CC"/>
    <w:rsid w:val="DFBF65D5"/>
    <w:rsid w:val="DFDA111C"/>
    <w:rsid w:val="DFFEBADC"/>
    <w:rsid w:val="DFFFF1D6"/>
    <w:rsid w:val="EB739338"/>
    <w:rsid w:val="EBCB7DBE"/>
    <w:rsid w:val="ECCD76BD"/>
    <w:rsid w:val="ED5FDAB5"/>
    <w:rsid w:val="EDD9EA72"/>
    <w:rsid w:val="EDFECB24"/>
    <w:rsid w:val="EEB55AE4"/>
    <w:rsid w:val="EEB7ADF7"/>
    <w:rsid w:val="EEFF5DC1"/>
    <w:rsid w:val="EF6517DA"/>
    <w:rsid w:val="EF779708"/>
    <w:rsid w:val="EF7B8356"/>
    <w:rsid w:val="F1BF809A"/>
    <w:rsid w:val="F20B63FA"/>
    <w:rsid w:val="F37F5B26"/>
    <w:rsid w:val="F3DF1E36"/>
    <w:rsid w:val="F3FB2AF5"/>
    <w:rsid w:val="F3FD79C6"/>
    <w:rsid w:val="F3FE4ED1"/>
    <w:rsid w:val="F57FE209"/>
    <w:rsid w:val="F6FFA011"/>
    <w:rsid w:val="F77EF1DF"/>
    <w:rsid w:val="F7BF29DD"/>
    <w:rsid w:val="F7C6E28F"/>
    <w:rsid w:val="F7DF3BA0"/>
    <w:rsid w:val="F7F38E38"/>
    <w:rsid w:val="F83DEEAF"/>
    <w:rsid w:val="F8B3BE0D"/>
    <w:rsid w:val="F8BD1FB4"/>
    <w:rsid w:val="F8FF8C9A"/>
    <w:rsid w:val="F9D74DC4"/>
    <w:rsid w:val="FADFE440"/>
    <w:rsid w:val="FAF6D81D"/>
    <w:rsid w:val="FB763391"/>
    <w:rsid w:val="FB9E5F7D"/>
    <w:rsid w:val="FBBB334B"/>
    <w:rsid w:val="FBEFE45A"/>
    <w:rsid w:val="FBF3E1DF"/>
    <w:rsid w:val="FCEAC882"/>
    <w:rsid w:val="FCFB72AD"/>
    <w:rsid w:val="FD7D6D59"/>
    <w:rsid w:val="FDA37375"/>
    <w:rsid w:val="FDB5CE77"/>
    <w:rsid w:val="FDEFC3FA"/>
    <w:rsid w:val="FDF36F88"/>
    <w:rsid w:val="FED7CB58"/>
    <w:rsid w:val="FEEF09AD"/>
    <w:rsid w:val="FEF2E319"/>
    <w:rsid w:val="FEF65CBA"/>
    <w:rsid w:val="FEF796C4"/>
    <w:rsid w:val="FEFD2F8A"/>
    <w:rsid w:val="FF5F1BC6"/>
    <w:rsid w:val="FF740761"/>
    <w:rsid w:val="FF7F4FCA"/>
    <w:rsid w:val="FF976806"/>
    <w:rsid w:val="FFAD5A1A"/>
    <w:rsid w:val="FFB6A4CE"/>
    <w:rsid w:val="FFBFB1B6"/>
    <w:rsid w:val="FFC5D43B"/>
    <w:rsid w:val="FFC6A744"/>
    <w:rsid w:val="FFDA0F91"/>
    <w:rsid w:val="FFEFBE9D"/>
    <w:rsid w:val="FFF77BB1"/>
    <w:rsid w:val="FFF7A4C2"/>
    <w:rsid w:val="FFFB156F"/>
    <w:rsid w:val="FFFF30E5"/>
    <w:rsid w:val="FFFF6986"/>
    <w:rsid w:val="FFFFAC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next w:val="1"/>
    <w:unhideWhenUsed/>
    <w:qFormat/>
    <w:uiPriority w:val="99"/>
    <w:pPr>
      <w:ind w:firstLine="420" w:firstLineChars="200"/>
    </w:p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index 9"/>
    <w:basedOn w:val="1"/>
    <w:next w:val="1"/>
    <w:unhideWhenUsed/>
    <w:qFormat/>
    <w:uiPriority w:val="0"/>
    <w:pPr>
      <w:spacing w:beforeLines="0" w:afterLines="0"/>
      <w:ind w:left="3360"/>
      <w:jc w:val="left"/>
    </w:pPr>
    <w:rPr>
      <w:rFonts w:hint="default" w:ascii="Times New Roman" w:hAnsi="Times New Roman"/>
      <w:sz w:val="21"/>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2193</Words>
  <Characters>2295</Characters>
  <Lines>0</Lines>
  <Paragraphs>0</Paragraphs>
  <TotalTime>104</TotalTime>
  <ScaleCrop>false</ScaleCrop>
  <LinksUpToDate>false</LinksUpToDate>
  <CharactersWithSpaces>2298</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2023-01-23T07:45:00Z</dcterms:created>
  <dc:creator>诗人与熊</dc:creator>
  <cp:lastModifiedBy>Administrator</cp:lastModifiedBy>
  <cp:lastPrinted>2026-01-26T01:32:35Z</cp:lastPrinted>
  <dcterms:modified xsi:type="dcterms:W3CDTF">2026-01-27T03:38:06Z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DA8CC7962E27FD9787BD76697526AE9A_43</vt:lpwstr>
  </property>
  <property fmtid="{D5CDD505-2E9C-101B-9397-08002B2CF9AE}" pid="4" name="KSOTemplateDocerSaveRecord">
    <vt:lpwstr>eyJoZGlkIjoiOGMyMDgyNTMwNDdiY2IzYzI0NWM3M2I3NzE0NzgzZjMiLCJ1c2VySWQiOiI3MTUyNjY3MzYifQ==</vt:lpwstr>
  </property>
</Properties>
</file>