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张店区科学技术局</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201</w:t>
      </w:r>
      <w:r>
        <w:rPr>
          <w:rFonts w:hint="eastAsia" w:ascii="方正小标宋简体" w:hAnsi="方正小标宋简体" w:eastAsia="方正小标宋简体" w:cs="方正小标宋简体"/>
          <w:sz w:val="44"/>
          <w:szCs w:val="44"/>
          <w:lang w:val="en-US" w:eastAsia="zh-CN"/>
        </w:rPr>
        <w:t>9</w:t>
      </w:r>
      <w:r>
        <w:rPr>
          <w:rFonts w:hint="eastAsia" w:ascii="方正小标宋简体" w:hAnsi="方正小标宋简体" w:eastAsia="方正小标宋简体" w:cs="方正小标宋简体"/>
          <w:sz w:val="44"/>
          <w:szCs w:val="44"/>
        </w:rPr>
        <w:t>年政府信息公开工作年度报告</w:t>
      </w:r>
    </w:p>
    <w:p>
      <w:pPr>
        <w:ind w:firstLine="640" w:firstLineChars="200"/>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本年报是按照</w:t>
      </w:r>
      <w:r>
        <w:rPr>
          <w:rFonts w:hint="default" w:ascii="Times New Roman" w:hAnsi="Times New Roman" w:eastAsia="仿宋_GB2312" w:cs="Times New Roman"/>
          <w:sz w:val="32"/>
          <w:szCs w:val="32"/>
        </w:rPr>
        <w:t>《中华人民共和国政府信息公开条例》</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《山东省政府信息公开办法》有关规定</w:t>
      </w:r>
      <w:r>
        <w:rPr>
          <w:rFonts w:hint="default" w:ascii="Times New Roman" w:hAnsi="Times New Roman" w:eastAsia="仿宋_GB2312" w:cs="Times New Roman"/>
          <w:sz w:val="32"/>
          <w:szCs w:val="32"/>
          <w:lang w:eastAsia="zh-CN"/>
        </w:rPr>
        <w:t>和区政府信息公开工作统一部署</w:t>
      </w:r>
      <w:r>
        <w:rPr>
          <w:rFonts w:hint="default" w:ascii="Times New Roman" w:hAnsi="Times New Roman" w:eastAsia="仿宋_GB2312" w:cs="Times New Roman"/>
          <w:sz w:val="32"/>
          <w:szCs w:val="32"/>
        </w:rPr>
        <w:t>要求</w:t>
      </w:r>
      <w:r>
        <w:rPr>
          <w:rFonts w:hint="default" w:ascii="Times New Roman" w:hAnsi="Times New Roman" w:eastAsia="仿宋_GB2312" w:cs="Times New Roman"/>
          <w:sz w:val="32"/>
          <w:szCs w:val="32"/>
          <w:lang w:eastAsia="zh-CN"/>
        </w:rPr>
        <w:t>，由</w:t>
      </w:r>
      <w:r>
        <w:rPr>
          <w:rFonts w:hint="eastAsia" w:ascii="Times New Roman" w:hAnsi="Times New Roman" w:eastAsia="仿宋_GB2312" w:cs="Times New Roman"/>
          <w:sz w:val="32"/>
          <w:szCs w:val="32"/>
          <w:lang w:eastAsia="zh-CN"/>
        </w:rPr>
        <w:t>张店区</w:t>
      </w:r>
      <w:r>
        <w:rPr>
          <w:rFonts w:hint="default" w:ascii="Times New Roman" w:hAnsi="Times New Roman" w:eastAsia="仿宋_GB2312" w:cs="Times New Roman"/>
          <w:sz w:val="32"/>
          <w:szCs w:val="32"/>
          <w:lang w:eastAsia="zh-CN"/>
        </w:rPr>
        <w:t>科学技术局编制</w:t>
      </w:r>
      <w:r>
        <w:rPr>
          <w:rFonts w:hint="eastAsia"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本年度</w:t>
      </w:r>
      <w:r>
        <w:rPr>
          <w:rFonts w:hint="default" w:ascii="Times New Roman" w:hAnsi="Times New Roman" w:eastAsia="仿宋_GB2312" w:cs="Times New Roman"/>
          <w:sz w:val="32"/>
          <w:szCs w:val="32"/>
        </w:rPr>
        <w:t>报告中所列数据的统计时限</w:t>
      </w:r>
      <w:r>
        <w:rPr>
          <w:rFonts w:hint="default" w:ascii="Times New Roman" w:hAnsi="Times New Roman" w:eastAsia="仿宋_GB2312" w:cs="Times New Roman"/>
          <w:sz w:val="32"/>
          <w:szCs w:val="32"/>
          <w:lang w:eastAsia="zh-CN"/>
        </w:rPr>
        <w:t>为</w:t>
      </w:r>
      <w:r>
        <w:rPr>
          <w:rFonts w:hint="default" w:ascii="Times New Roman" w:hAnsi="Times New Roman" w:eastAsia="仿宋_GB2312" w:cs="Times New Roman"/>
          <w:sz w:val="32"/>
          <w:szCs w:val="32"/>
        </w:rPr>
        <w:t>201</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年1月1日起至201</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年12月31日。</w:t>
      </w:r>
      <w:r>
        <w:rPr>
          <w:rFonts w:hint="default" w:ascii="Times New Roman" w:hAnsi="Times New Roman" w:eastAsia="仿宋_GB2312" w:cs="Times New Roman"/>
          <w:sz w:val="32"/>
          <w:szCs w:val="32"/>
          <w:lang w:val="en-US" w:eastAsia="zh-CN"/>
        </w:rPr>
        <w:t>本报告电子版可在淄博市张店区人民政府门户网站区级部门单位信息公开版块查阅或下载（网址：http://www.zhangdian.gov.cn）</w:t>
      </w:r>
      <w:r>
        <w:rPr>
          <w:rFonts w:hint="default" w:ascii="Times New Roman" w:hAnsi="Times New Roman" w:eastAsia="仿宋_GB2312" w:cs="Times New Roman"/>
          <w:sz w:val="32"/>
          <w:szCs w:val="32"/>
        </w:rPr>
        <w:t>如对本报告有任何疑问，请联系:张店区科学技术局办公室，地址：张店区新村西路226号张店区政务中心，邮编：255000，Email:</w:t>
      </w:r>
      <w:r>
        <w:rPr>
          <w:rFonts w:hint="default" w:ascii="Times New Roman" w:hAnsi="Times New Roman" w:eastAsia="仿宋_GB2312" w:cs="Times New Roman"/>
          <w:sz w:val="32"/>
          <w:szCs w:val="32"/>
          <w:lang w:val="en-US" w:eastAsia="zh-CN"/>
        </w:rPr>
        <w:t>zdqkjjbgs@zb.shandong.cn</w:t>
      </w:r>
      <w:r>
        <w:rPr>
          <w:rFonts w:hint="default" w:ascii="Times New Roman" w:hAnsi="Times New Roman" w:eastAsia="仿宋_GB2312" w:cs="Times New Roman"/>
          <w:sz w:val="32"/>
          <w:szCs w:val="32"/>
        </w:rPr>
        <w:t>，联系电话：0533-2869907。</w:t>
      </w:r>
    </w:p>
    <w:p>
      <w:pPr>
        <w:numPr>
          <w:ilvl w:val="0"/>
          <w:numId w:val="1"/>
        </w:num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政府信息公开工作基本情况</w:t>
      </w:r>
    </w:p>
    <w:p>
      <w:pPr>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2019年，在区委、区政府的领导下，张店区科学技术局认真开展政府信息公开工作，全面落实“五公开”工作机制。以公开、便民、勤政、廉洁、高效为基本要求，优化政务服务，</w:t>
      </w:r>
      <w:r>
        <w:rPr>
          <w:rFonts w:hint="eastAsia" w:ascii="仿宋_GB2312" w:hAnsi="仿宋_GB2312" w:eastAsia="仿宋_GB2312" w:cs="仿宋_GB2312"/>
          <w:sz w:val="32"/>
          <w:szCs w:val="32"/>
          <w:lang w:eastAsia="zh-CN"/>
        </w:rPr>
        <w:t>全局</w:t>
      </w:r>
      <w:r>
        <w:rPr>
          <w:rFonts w:hint="eastAsia" w:ascii="仿宋_GB2312" w:hAnsi="仿宋_GB2312" w:eastAsia="仿宋_GB2312" w:cs="仿宋_GB2312"/>
          <w:sz w:val="32"/>
          <w:szCs w:val="32"/>
        </w:rPr>
        <w:t>政府信息公开工作运行正常</w:t>
      </w:r>
      <w:r>
        <w:rPr>
          <w:rFonts w:hint="eastAsia" w:ascii="仿宋_GB2312" w:hAnsi="仿宋_GB2312" w:eastAsia="仿宋_GB2312" w:cs="仿宋_GB2312"/>
          <w:sz w:val="32"/>
          <w:szCs w:val="32"/>
          <w:lang w:eastAsia="zh-CN"/>
        </w:rPr>
        <w:t>。</w:t>
      </w:r>
    </w:p>
    <w:p>
      <w:pPr>
        <w:numPr>
          <w:ilvl w:val="0"/>
          <w:numId w:val="2"/>
        </w:numPr>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加强组织领导，落实公开责任。区科技局党组高度重视信息公开工作，及时调整政务公开工作领导小组，明确了职责分工。政务公开工作领导小组定期召开例会，主要</w:t>
      </w:r>
    </w:p>
    <w:p>
      <w:pPr>
        <w:numPr>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领导每半年听取一次工作汇报，确保政务信息和政务公开工作取得实效。开展政务公开培训，年初制定《区科技局</w:t>
      </w:r>
      <w:r>
        <w:rPr>
          <w:rFonts w:hint="eastAsia" w:ascii="仿宋_GB2312" w:hAnsi="仿宋_GB2312" w:eastAsia="仿宋_GB2312" w:cs="仿宋_GB2312"/>
          <w:sz w:val="32"/>
          <w:szCs w:val="32"/>
          <w:lang w:val="en-US" w:eastAsia="zh-CN"/>
        </w:rPr>
        <w:t>政务</w:t>
      </w:r>
    </w:p>
    <w:p>
      <w:pPr>
        <w:numPr>
          <w:ilvl w:val="0"/>
          <w:numId w:val="0"/>
        </w:numPr>
        <w:rPr>
          <w:rFonts w:hint="eastAsia" w:ascii="仿宋_GB2312" w:hAnsi="仿宋_GB2312" w:eastAsia="仿宋_GB2312" w:cs="仿宋_GB2312"/>
          <w:sz w:val="32"/>
          <w:szCs w:val="32"/>
          <w:lang w:eastAsia="zh-CN"/>
        </w:rPr>
      </w:pPr>
      <w:r>
        <w:drawing>
          <wp:anchor distT="0" distB="0" distL="114300" distR="114300" simplePos="0" relativeHeight="251660288" behindDoc="0" locked="0" layoutInCell="1" allowOverlap="1">
            <wp:simplePos x="0" y="0"/>
            <wp:positionH relativeFrom="column">
              <wp:posOffset>222885</wp:posOffset>
            </wp:positionH>
            <wp:positionV relativeFrom="paragraph">
              <wp:posOffset>122555</wp:posOffset>
            </wp:positionV>
            <wp:extent cx="4915535" cy="3525520"/>
            <wp:effectExtent l="0" t="0" r="18415" b="1778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4915535" cy="3525520"/>
                    </a:xfrm>
                    <a:prstGeom prst="rect">
                      <a:avLst/>
                    </a:prstGeom>
                    <a:noFill/>
                    <a:ln>
                      <a:noFill/>
                    </a:ln>
                  </pic:spPr>
                </pic:pic>
              </a:graphicData>
            </a:graphic>
          </wp:anchor>
        </w:drawing>
      </w:r>
      <w:r>
        <w:rPr>
          <w:rFonts w:hint="eastAsia" w:ascii="仿宋_GB2312" w:hAnsi="仿宋_GB2312" w:eastAsia="仿宋_GB2312" w:cs="仿宋_GB2312"/>
          <w:sz w:val="32"/>
          <w:szCs w:val="32"/>
          <w:lang w:val="en-US" w:eastAsia="zh-CN"/>
        </w:rPr>
        <w:t>信息公开培训计划</w:t>
      </w:r>
      <w:r>
        <w:rPr>
          <w:rFonts w:hint="eastAsia" w:ascii="仿宋_GB2312" w:hAnsi="仿宋_GB2312" w:eastAsia="仿宋_GB2312" w:cs="仿宋_GB2312"/>
          <w:sz w:val="32"/>
          <w:szCs w:val="32"/>
          <w:lang w:eastAsia="zh-CN"/>
        </w:rPr>
        <w:t>》，不断增强干部的政务公开意识和业务</w:t>
      </w:r>
    </w:p>
    <w:p>
      <w:pPr>
        <w:numPr>
          <w:ilvl w:val="0"/>
          <w:numId w:val="0"/>
        </w:numPr>
        <w:rPr>
          <w:rFonts w:hint="eastAsia" w:ascii="仿宋_GB2312" w:hAnsi="仿宋_GB2312" w:eastAsia="仿宋_GB2312" w:cs="仿宋_GB2312"/>
          <w:sz w:val="32"/>
          <w:szCs w:val="32"/>
          <w:lang w:eastAsia="zh-CN"/>
        </w:rPr>
      </w:pPr>
      <w:r>
        <w:drawing>
          <wp:anchor distT="0" distB="0" distL="114300" distR="114300" simplePos="0" relativeHeight="251661312" behindDoc="0" locked="0" layoutInCell="1" allowOverlap="1">
            <wp:simplePos x="0" y="0"/>
            <wp:positionH relativeFrom="column">
              <wp:posOffset>207645</wp:posOffset>
            </wp:positionH>
            <wp:positionV relativeFrom="paragraph">
              <wp:posOffset>1113155</wp:posOffset>
            </wp:positionV>
            <wp:extent cx="4627880" cy="3846830"/>
            <wp:effectExtent l="0" t="0" r="1270" b="127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4627880" cy="3846830"/>
                    </a:xfrm>
                    <a:prstGeom prst="rect">
                      <a:avLst/>
                    </a:prstGeom>
                    <a:noFill/>
                    <a:ln>
                      <a:noFill/>
                    </a:ln>
                  </pic:spPr>
                </pic:pic>
              </a:graphicData>
            </a:graphic>
          </wp:anchor>
        </w:drawing>
      </w:r>
      <w:r>
        <w:rPr>
          <w:rFonts w:hint="eastAsia" w:ascii="仿宋_GB2312" w:hAnsi="仿宋_GB2312" w:eastAsia="仿宋_GB2312" w:cs="仿宋_GB2312"/>
          <w:sz w:val="32"/>
          <w:szCs w:val="32"/>
          <w:lang w:eastAsia="zh-CN"/>
        </w:rPr>
        <w:t>水平。通过全员宣传培训、业务能力培训、保密重点培训、组织经验交流等多方面、多维度的培训课程，切实加强了对培训方案的落实和参培人员管理，保障了培训质量。</w:t>
      </w:r>
    </w:p>
    <w:p>
      <w:pPr>
        <w:numPr>
          <w:ilvl w:val="0"/>
          <w:numId w:val="2"/>
        </w:numPr>
        <w:ind w:firstLine="640"/>
        <w:rPr>
          <w:rFonts w:hint="eastAsia" w:ascii="仿宋_GB2312" w:hAnsi="仿宋_GB2312" w:eastAsia="仿宋_GB2312" w:cs="仿宋_GB2312"/>
          <w:sz w:val="32"/>
          <w:szCs w:val="32"/>
          <w:lang w:eastAsia="zh-CN"/>
        </w:rPr>
      </w:pPr>
      <w:r>
        <w:drawing>
          <wp:anchor distT="0" distB="0" distL="114300" distR="114300" simplePos="0" relativeHeight="251658240" behindDoc="0" locked="0" layoutInCell="1" allowOverlap="1">
            <wp:simplePos x="0" y="0"/>
            <wp:positionH relativeFrom="column">
              <wp:posOffset>-159385</wp:posOffset>
            </wp:positionH>
            <wp:positionV relativeFrom="paragraph">
              <wp:posOffset>1711960</wp:posOffset>
            </wp:positionV>
            <wp:extent cx="5539740" cy="5060950"/>
            <wp:effectExtent l="0" t="0" r="3810" b="635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539740" cy="5060950"/>
                    </a:xfrm>
                    <a:prstGeom prst="rect">
                      <a:avLst/>
                    </a:prstGeom>
                    <a:noFill/>
                    <a:ln>
                      <a:noFill/>
                    </a:ln>
                  </pic:spPr>
                </pic:pic>
              </a:graphicData>
            </a:graphic>
          </wp:anchor>
        </w:drawing>
      </w:r>
      <w:r>
        <w:rPr>
          <w:rFonts w:hint="eastAsia" w:ascii="仿宋_GB2312" w:hAnsi="仿宋_GB2312" w:eastAsia="仿宋_GB2312" w:cs="仿宋_GB2312"/>
          <w:sz w:val="32"/>
          <w:szCs w:val="32"/>
          <w:lang w:eastAsia="zh-CN"/>
        </w:rPr>
        <w:t>深化公开内容，打造阳光政府。围绕中央、省、市、区政务公开工作重点，将公开的政府信息划分为</w:t>
      </w:r>
      <w:r>
        <w:rPr>
          <w:rFonts w:hint="eastAsia" w:ascii="仿宋_GB2312" w:hAnsi="仿宋_GB2312" w:eastAsia="仿宋_GB2312" w:cs="仿宋_GB2312"/>
          <w:sz w:val="32"/>
          <w:szCs w:val="32"/>
          <w:lang w:val="en-US" w:eastAsia="zh-CN"/>
        </w:rPr>
        <w:t>16个类别，制定了《2019年张店区科技局政务公开工作实施方案》。围绕科技创新、新旧动能转换、权责清单、建议提案办理结</w:t>
      </w:r>
    </w:p>
    <w:p>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果等重大部署；围绕机构改革、财政预决算、规划计划等重点领域；围绕政府会议、法规公文、政策解读等方面做了安排部署。对部门业务工作及时公开，将区内申报英才计划、科学技术奖等情况予以公示，更好保障人民群众的知情权、参与权、表达权和监督权，让人民群众有更好的获得感、幸</w:t>
      </w:r>
    </w:p>
    <w:p>
      <w:pPr>
        <w:numPr>
          <w:ilvl w:val="0"/>
          <w:numId w:val="0"/>
        </w:numPr>
        <w:rPr>
          <w:rFonts w:hint="eastAsia" w:ascii="仿宋_GB2312" w:hAnsi="仿宋_GB2312" w:eastAsia="仿宋_GB2312" w:cs="仿宋_GB2312"/>
          <w:sz w:val="32"/>
          <w:szCs w:val="32"/>
          <w:lang w:eastAsia="zh-CN"/>
        </w:rPr>
      </w:pPr>
      <w:r>
        <w:drawing>
          <wp:anchor distT="0" distB="0" distL="114300" distR="114300" simplePos="0" relativeHeight="251659264" behindDoc="0" locked="0" layoutInCell="1" allowOverlap="1">
            <wp:simplePos x="0" y="0"/>
            <wp:positionH relativeFrom="column">
              <wp:posOffset>-18415</wp:posOffset>
            </wp:positionH>
            <wp:positionV relativeFrom="paragraph">
              <wp:posOffset>276860</wp:posOffset>
            </wp:positionV>
            <wp:extent cx="4943475" cy="4424680"/>
            <wp:effectExtent l="0" t="0" r="9525" b="1397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4943475" cy="4424680"/>
                    </a:xfrm>
                    <a:prstGeom prst="rect">
                      <a:avLst/>
                    </a:prstGeom>
                    <a:noFill/>
                    <a:ln>
                      <a:noFill/>
                    </a:ln>
                  </pic:spPr>
                </pic:pic>
              </a:graphicData>
            </a:graphic>
          </wp:anchor>
        </w:drawing>
      </w:r>
      <w:r>
        <w:rPr>
          <w:rFonts w:hint="eastAsia" w:ascii="仿宋_GB2312" w:hAnsi="仿宋_GB2312" w:eastAsia="仿宋_GB2312" w:cs="仿宋_GB2312"/>
          <w:sz w:val="32"/>
          <w:szCs w:val="32"/>
          <w:lang w:val="en-US" w:eastAsia="zh-CN"/>
        </w:rPr>
        <w:t>福感、安全感。</w:t>
      </w:r>
    </w:p>
    <w:p>
      <w:pPr>
        <w:numPr>
          <w:ilvl w:val="0"/>
          <w:numId w:val="1"/>
        </w:num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主动公开政府信息情况</w:t>
      </w:r>
    </w:p>
    <w:p>
      <w:pPr>
        <w:numPr>
          <w:ilvl w:val="0"/>
          <w:numId w:val="0"/>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2019年，区科技局坚持把张店区人民政府网站作为第一公开平台，优化了栏目设置，根据《条例》等有关规定，以及时、完整、准确为原则，及时在网站公开重要科技创新、高新技术企业、科技型中小企业等方面的相关政策及执行情况。本年度通过门户网站、“张店科技”微信公众号新增公开发布信息数达93条。</w:t>
      </w:r>
    </w:p>
    <w:p>
      <w:pPr>
        <w:numPr>
          <w:ilvl w:val="0"/>
          <w:numId w:val="0"/>
        </w:numPr>
        <w:rPr>
          <w:rFonts w:hint="eastAsia" w:ascii="黑体" w:hAnsi="黑体" w:eastAsia="黑体" w:cs="黑体"/>
          <w:sz w:val="32"/>
          <w:szCs w:val="32"/>
          <w:lang w:eastAsia="zh-CN"/>
        </w:rPr>
      </w:pPr>
    </w:p>
    <w:tbl>
      <w:tblPr>
        <w:tblStyle w:val="4"/>
        <w:tblW w:w="8708" w:type="dxa"/>
        <w:jc w:val="center"/>
        <w:shd w:val="clear" w:color="auto" w:fill="FFFFFF" w:themeFill="background1"/>
        <w:tblLayout w:type="fixed"/>
        <w:tblCellMar>
          <w:top w:w="0" w:type="dxa"/>
          <w:left w:w="0" w:type="dxa"/>
          <w:bottom w:w="0" w:type="dxa"/>
          <w:right w:w="0" w:type="dxa"/>
        </w:tblCellMar>
      </w:tblPr>
      <w:tblGrid>
        <w:gridCol w:w="3073"/>
        <w:gridCol w:w="17"/>
        <w:gridCol w:w="2095"/>
        <w:gridCol w:w="1505"/>
        <w:gridCol w:w="2018"/>
      </w:tblGrid>
      <w:tr>
        <w:tblPrEx>
          <w:shd w:val="clear" w:color="auto" w:fill="FFFFFF" w:themeFill="background1"/>
          <w:tblCellMar>
            <w:top w:w="0" w:type="dxa"/>
            <w:left w:w="0" w:type="dxa"/>
            <w:bottom w:w="0" w:type="dxa"/>
            <w:right w:w="0" w:type="dxa"/>
          </w:tblCellMar>
        </w:tblPrEx>
        <w:trPr>
          <w:trHeight w:val="594" w:hRule="atLeast"/>
          <w:jc w:val="center"/>
        </w:trPr>
        <w:tc>
          <w:tcPr>
            <w:tcW w:w="8708" w:type="dxa"/>
            <w:gridSpan w:val="5"/>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sz w:val="24"/>
              </w:rPr>
            </w:pPr>
            <w:r>
              <w:rPr>
                <w:rFonts w:hint="eastAsia" w:asciiTheme="minorEastAsia" w:hAnsiTheme="minorEastAsia" w:cstheme="minorEastAsia"/>
                <w:color w:val="000000"/>
                <w:kern w:val="0"/>
                <w:sz w:val="24"/>
              </w:rPr>
              <w:t>第二十条第（一）项</w:t>
            </w:r>
          </w:p>
        </w:tc>
      </w:tr>
      <w:tr>
        <w:tblPrEx>
          <w:tblCellMar>
            <w:top w:w="0" w:type="dxa"/>
            <w:left w:w="0" w:type="dxa"/>
            <w:bottom w:w="0" w:type="dxa"/>
            <w:right w:w="0" w:type="dxa"/>
          </w:tblCellMar>
        </w:tblPrEx>
        <w:trPr>
          <w:trHeight w:val="86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本年新制作数量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本年新</w:t>
            </w:r>
            <w:r>
              <w:rPr>
                <w:rFonts w:hint="eastAsia" w:asciiTheme="minorEastAsia" w:hAnsiTheme="minorEastAsia" w:cstheme="minorEastAsia"/>
                <w:color w:val="000000"/>
                <w:kern w:val="0"/>
                <w:sz w:val="24"/>
              </w:rPr>
              <w:br w:type="textWrapping"/>
            </w:r>
            <w:r>
              <w:rPr>
                <w:rFonts w:hint="eastAsia" w:asciiTheme="minorEastAsia" w:hAnsiTheme="minorEastAsia" w:cstheme="minorEastAsia"/>
                <w:color w:val="000000"/>
                <w:kern w:val="0"/>
                <w:sz w:val="24"/>
              </w:rPr>
              <w:t>公开数量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asciiTheme="minorEastAsia" w:hAnsiTheme="minorEastAsia" w:cstheme="minorEastAsia"/>
                <w:color w:val="000000"/>
                <w:kern w:val="0"/>
                <w:sz w:val="24"/>
              </w:rPr>
            </w:pPr>
            <w:r>
              <w:rPr>
                <w:rFonts w:hint="eastAsia" w:asciiTheme="minorEastAsia" w:hAnsiTheme="minorEastAsia" w:cstheme="minorEastAsia"/>
                <w:color w:val="000000"/>
                <w:kern w:val="0"/>
                <w:sz w:val="24"/>
              </w:rPr>
              <w:t>对外公开</w:t>
            </w:r>
          </w:p>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总数量</w:t>
            </w:r>
          </w:p>
        </w:tc>
      </w:tr>
      <w:tr>
        <w:tblPrEx>
          <w:tblCellMar>
            <w:top w:w="0" w:type="dxa"/>
            <w:left w:w="0" w:type="dxa"/>
            <w:bottom w:w="0" w:type="dxa"/>
            <w:right w:w="0" w:type="dxa"/>
          </w:tblCellMar>
        </w:tblPrEx>
        <w:trPr>
          <w:trHeight w:val="39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规章</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eastAsia="宋体" w:asciiTheme="minorEastAsia" w:hAnsi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eastAsia="宋体" w:asciiTheme="minorEastAsia" w:hAnsi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r>
      <w:tr>
        <w:tblPrEx>
          <w:tblCellMar>
            <w:top w:w="0" w:type="dxa"/>
            <w:left w:w="0" w:type="dxa"/>
            <w:bottom w:w="0" w:type="dxa"/>
            <w:right w:w="0" w:type="dxa"/>
          </w:tblCellMar>
        </w:tblPrEx>
        <w:trPr>
          <w:trHeight w:val="404"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规范性文件</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eastAsia="宋体" w:asciiTheme="minorEastAsia" w:hAnsi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eastAsia="宋体" w:asciiTheme="minorEastAsia" w:hAnsi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r>
      <w:tr>
        <w:tblPrEx>
          <w:tblCellMar>
            <w:top w:w="0" w:type="dxa"/>
            <w:left w:w="0" w:type="dxa"/>
            <w:bottom w:w="0" w:type="dxa"/>
            <w:right w:w="0" w:type="dxa"/>
          </w:tblCellMar>
        </w:tblPrEx>
        <w:trPr>
          <w:trHeight w:val="480"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第二十条第（五）项</w:t>
            </w:r>
          </w:p>
        </w:tc>
      </w:tr>
      <w:tr>
        <w:tblPrEx>
          <w:tblCellMar>
            <w:top w:w="0" w:type="dxa"/>
            <w:left w:w="0" w:type="dxa"/>
            <w:bottom w:w="0" w:type="dxa"/>
            <w:right w:w="0" w:type="dxa"/>
          </w:tblCellMar>
        </w:tblPrEx>
        <w:trPr>
          <w:trHeight w:val="51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本年增/减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处理决定数量</w:t>
            </w:r>
          </w:p>
        </w:tc>
      </w:tr>
      <w:tr>
        <w:tblPrEx>
          <w:tblCellMar>
            <w:top w:w="0" w:type="dxa"/>
            <w:left w:w="0" w:type="dxa"/>
            <w:bottom w:w="0" w:type="dxa"/>
            <w:right w:w="0" w:type="dxa"/>
          </w:tblCellMar>
        </w:tblPrEx>
        <w:trPr>
          <w:trHeight w:val="455"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行政许可</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eastAsia="宋体" w:asciiTheme="minorEastAsia" w:hAnsi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eastAsia="宋体" w:asciiTheme="minorEastAsia" w:hAnsi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55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其他对外管理服务事项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eastAsia="宋体" w:asciiTheme="minorEastAsia" w:hAnsi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eastAsia="宋体" w:asciiTheme="minorEastAsia" w:hAnsi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497"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第二十条第（六）项</w:t>
            </w:r>
          </w:p>
        </w:tc>
      </w:tr>
      <w:tr>
        <w:tblPrEx>
          <w:tblCellMar>
            <w:top w:w="0" w:type="dxa"/>
            <w:left w:w="0" w:type="dxa"/>
            <w:bottom w:w="0" w:type="dxa"/>
            <w:right w:w="0" w:type="dxa"/>
          </w:tblCellMar>
        </w:tblPrEx>
        <w:trPr>
          <w:trHeight w:val="5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本年增/减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处理决定数量</w:t>
            </w:r>
          </w:p>
        </w:tc>
      </w:tr>
      <w:tr>
        <w:tblPrEx>
          <w:tblCellMar>
            <w:top w:w="0" w:type="dxa"/>
            <w:left w:w="0" w:type="dxa"/>
            <w:bottom w:w="0" w:type="dxa"/>
            <w:right w:w="0" w:type="dxa"/>
          </w:tblCellMar>
        </w:tblPrEx>
        <w:trPr>
          <w:trHeight w:val="43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行政处罚</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eastAsia="宋体" w:asciiTheme="minorEastAsia" w:hAnsi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eastAsia="宋体" w:asciiTheme="minorEastAsia" w:hAnsi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r>
      <w:tr>
        <w:tblPrEx>
          <w:tblCellMar>
            <w:top w:w="0" w:type="dxa"/>
            <w:left w:w="0" w:type="dxa"/>
            <w:bottom w:w="0" w:type="dxa"/>
            <w:right w:w="0" w:type="dxa"/>
          </w:tblCellMar>
        </w:tblPrEx>
        <w:trPr>
          <w:trHeight w:val="40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行政强制</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eastAsia="宋体" w:asciiTheme="minorEastAsia" w:hAnsi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474"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第二十条第（八）项</w:t>
            </w:r>
          </w:p>
        </w:tc>
      </w:tr>
      <w:tr>
        <w:tblPrEx>
          <w:tblCellMar>
            <w:top w:w="0" w:type="dxa"/>
            <w:left w:w="0" w:type="dxa"/>
            <w:bottom w:w="0" w:type="dxa"/>
            <w:right w:w="0" w:type="dxa"/>
          </w:tblCellMar>
        </w:tblPrEx>
        <w:trPr>
          <w:trHeight w:val="4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上一年项目数量</w:t>
            </w:r>
          </w:p>
        </w:tc>
        <w:tc>
          <w:tcPr>
            <w:tcW w:w="3523"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本年增/减</w:t>
            </w:r>
          </w:p>
        </w:tc>
      </w:tr>
      <w:tr>
        <w:tblPrEx>
          <w:tblCellMar>
            <w:top w:w="0" w:type="dxa"/>
            <w:left w:w="0" w:type="dxa"/>
            <w:bottom w:w="0" w:type="dxa"/>
            <w:right w:w="0" w:type="dxa"/>
          </w:tblCellMar>
        </w:tblPrEx>
        <w:trPr>
          <w:trHeight w:val="44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行政事业性收费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eastAsia="宋体" w:asciiTheme="minorEastAsia" w:hAnsi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3523"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widowControl/>
              <w:jc w:val="center"/>
              <w:rPr>
                <w:rFonts w:hint="eastAsia" w:eastAsia="宋体" w:asciiTheme="minorEastAsia" w:hAnsi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r>
      <w:tr>
        <w:tblPrEx>
          <w:tblCellMar>
            <w:top w:w="0" w:type="dxa"/>
            <w:left w:w="0" w:type="dxa"/>
            <w:bottom w:w="0" w:type="dxa"/>
            <w:right w:w="0" w:type="dxa"/>
          </w:tblCellMar>
        </w:tblPrEx>
        <w:trPr>
          <w:trHeight w:val="476"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第二十条第（九）项</w:t>
            </w:r>
          </w:p>
        </w:tc>
      </w:tr>
      <w:tr>
        <w:tblPrEx>
          <w:tblCellMar>
            <w:top w:w="0" w:type="dxa"/>
            <w:left w:w="0" w:type="dxa"/>
            <w:bottom w:w="0" w:type="dxa"/>
            <w:right w:w="0" w:type="dxa"/>
          </w:tblCellMar>
        </w:tblPrEx>
        <w:trPr>
          <w:trHeight w:val="427"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09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采购项目数量</w:t>
            </w:r>
          </w:p>
        </w:tc>
        <w:tc>
          <w:tcPr>
            <w:tcW w:w="3523"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采购总金额</w:t>
            </w:r>
          </w:p>
        </w:tc>
      </w:tr>
      <w:tr>
        <w:tblPrEx>
          <w:tblCellMar>
            <w:top w:w="0" w:type="dxa"/>
            <w:left w:w="0" w:type="dxa"/>
            <w:bottom w:w="0" w:type="dxa"/>
            <w:right w:w="0" w:type="dxa"/>
          </w:tblCellMar>
        </w:tblPrEx>
        <w:trPr>
          <w:trHeight w:val="469"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政府集中采购</w:t>
            </w:r>
          </w:p>
        </w:tc>
        <w:tc>
          <w:tcPr>
            <w:tcW w:w="209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eastAsia="宋体" w:asciiTheme="minorEastAsia" w:hAnsi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3523"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jc w:val="center"/>
              <w:rPr>
                <w:rFonts w:hint="eastAsia" w:eastAsia="宋体" w:asciiTheme="minorEastAsia" w:hAnsiTheme="minorEastAsia" w:cstheme="minorEastAsia"/>
                <w:color w:val="000000"/>
                <w:kern w:val="0"/>
                <w:sz w:val="24"/>
                <w:lang w:val="en-US" w:eastAsia="zh-CN"/>
              </w:rPr>
            </w:pPr>
            <w:r>
              <w:rPr>
                <w:rFonts w:hint="eastAsia" w:asciiTheme="minorEastAsia" w:hAnsiTheme="minorEastAsia" w:cstheme="minorEastAsia"/>
                <w:color w:val="000000"/>
                <w:kern w:val="0"/>
                <w:sz w:val="24"/>
                <w:lang w:val="en-US" w:eastAsia="zh-CN"/>
              </w:rPr>
              <w:t>0</w:t>
            </w:r>
          </w:p>
        </w:tc>
      </w:tr>
    </w:tbl>
    <w:p>
      <w:pPr>
        <w:numPr>
          <w:ilvl w:val="0"/>
          <w:numId w:val="0"/>
        </w:numPr>
        <w:rPr>
          <w:rFonts w:hint="eastAsia" w:ascii="黑体" w:hAnsi="黑体" w:eastAsia="黑体" w:cs="黑体"/>
          <w:sz w:val="32"/>
          <w:szCs w:val="32"/>
          <w:lang w:eastAsia="zh-CN"/>
        </w:rPr>
      </w:pPr>
    </w:p>
    <w:p>
      <w:pPr>
        <w:numPr>
          <w:ilvl w:val="0"/>
          <w:numId w:val="1"/>
        </w:num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收到和处理政府信息公开申请情况</w:t>
      </w:r>
    </w:p>
    <w:p>
      <w:pPr>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进一步明确依申请公开制度，对群众依申请公开内容进行核定答复，截至2019年12月31日，共收到自然人依申请公开3件，其中2件给予答复并按自然人要求予以公开，1件不属于科技局业务范围，给予答复并告知救济渠道。办结同意率100%。</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p>
      <w:pPr>
        <w:numPr>
          <w:ilvl w:val="0"/>
          <w:numId w:val="0"/>
        </w:numPr>
        <w:ind w:firstLine="640"/>
        <w:rPr>
          <w:rFonts w:hint="eastAsia" w:ascii="仿宋_GB2312" w:hAnsi="仿宋_GB2312" w:eastAsia="仿宋_GB2312" w:cs="仿宋_GB2312"/>
          <w:sz w:val="32"/>
          <w:szCs w:val="32"/>
          <w:lang w:val="en-US" w:eastAsia="zh-CN"/>
        </w:rPr>
      </w:pPr>
      <w:bookmarkStart w:id="0" w:name="_GoBack"/>
      <w:bookmarkEnd w:id="0"/>
    </w:p>
    <w:tbl>
      <w:tblPr>
        <w:tblStyle w:val="4"/>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25"/>
        <w:gridCol w:w="1418"/>
        <w:gridCol w:w="2835"/>
        <w:gridCol w:w="850"/>
        <w:gridCol w:w="567"/>
        <w:gridCol w:w="567"/>
        <w:gridCol w:w="567"/>
        <w:gridCol w:w="567"/>
        <w:gridCol w:w="540"/>
        <w:gridCol w:w="63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3" w:hRule="atLeast"/>
          <w:jc w:val="center"/>
        </w:trPr>
        <w:tc>
          <w:tcPr>
            <w:tcW w:w="4778"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（本列数据的勾稽关系为：第一项加第二项之和，</w:t>
            </w:r>
          </w:p>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等于第三项加第四项之和）</w:t>
            </w:r>
          </w:p>
        </w:tc>
        <w:tc>
          <w:tcPr>
            <w:tcW w:w="4293"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hint="default" w:ascii="Times New Roman" w:hAnsi="Times New Roman" w:cs="Times New Roman"/>
              </w:rPr>
            </w:pPr>
            <w:r>
              <w:rPr>
                <w:rFonts w:hint="default" w:ascii="Times New Roman" w:hAnsi="Times New Roman" w:eastAsia="宋体" w:cs="Times New Roman"/>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5"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85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自然人</w:t>
            </w:r>
          </w:p>
        </w:tc>
        <w:tc>
          <w:tcPr>
            <w:tcW w:w="2808"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hint="default" w:ascii="Times New Roman" w:hAnsi="Times New Roman" w:cs="Times New Roman"/>
              </w:rPr>
            </w:pPr>
            <w:r>
              <w:rPr>
                <w:rFonts w:hint="default" w:ascii="Times New Roman" w:hAnsi="Times New Roman" w:eastAsia="宋体" w:cs="Times New Roman"/>
                <w:kern w:val="0"/>
                <w:sz w:val="20"/>
                <w:szCs w:val="20"/>
              </w:rPr>
              <w:t>法人或其他组织</w:t>
            </w:r>
          </w:p>
        </w:tc>
        <w:tc>
          <w:tcPr>
            <w:tcW w:w="635"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27"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85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6" w:leftChars="-51" w:right="-107" w:rightChars="-51" w:hanging="1"/>
              <w:jc w:val="center"/>
              <w:rPr>
                <w:rFonts w:hint="default" w:ascii="Times New Roman" w:hAnsi="Times New Roman" w:cs="Times New Roman"/>
              </w:rPr>
            </w:pPr>
            <w:r>
              <w:rPr>
                <w:rFonts w:hint="default" w:ascii="Times New Roman" w:hAnsi="Times New Roman" w:eastAsia="宋体" w:cs="Times New Roman"/>
                <w:kern w:val="0"/>
                <w:sz w:val="20"/>
                <w:szCs w:val="20"/>
              </w:rPr>
              <w:t>商业企业</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7" w:leftChars="-51" w:right="-107" w:rightChars="-51"/>
              <w:jc w:val="center"/>
              <w:rPr>
                <w:rFonts w:hint="default" w:ascii="Times New Roman" w:hAnsi="Times New Roman" w:cs="Times New Roman"/>
              </w:rPr>
            </w:pPr>
            <w:r>
              <w:rPr>
                <w:rFonts w:hint="default" w:ascii="Times New Roman" w:hAnsi="Times New Roman" w:eastAsia="宋体" w:cs="Times New Roman"/>
                <w:kern w:val="0"/>
                <w:sz w:val="20"/>
                <w:szCs w:val="20"/>
              </w:rPr>
              <w:t>科研机构</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7" w:leftChars="-51" w:right="-107" w:rightChars="-51"/>
              <w:jc w:val="center"/>
              <w:rPr>
                <w:rFonts w:hint="default" w:ascii="Times New Roman" w:hAnsi="Times New Roman" w:cs="Times New Roman"/>
              </w:rPr>
            </w:pPr>
            <w:r>
              <w:rPr>
                <w:rFonts w:hint="default" w:ascii="Times New Roman" w:hAnsi="Times New Roman" w:eastAsia="宋体" w:cs="Times New Roman"/>
                <w:kern w:val="0"/>
                <w:sz w:val="20"/>
                <w:szCs w:val="20"/>
              </w:rPr>
              <w:t>社会公益组织</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6" w:leftChars="-51" w:right="-107" w:rightChars="-51" w:hanging="1"/>
              <w:jc w:val="center"/>
              <w:rPr>
                <w:rFonts w:hint="default" w:ascii="Times New Roman" w:hAnsi="Times New Roman" w:cs="Times New Roman"/>
              </w:rPr>
            </w:pPr>
            <w:r>
              <w:rPr>
                <w:rFonts w:hint="default" w:ascii="Times New Roman" w:hAnsi="Times New Roman" w:eastAsia="宋体" w:cs="Times New Roman"/>
                <w:kern w:val="0"/>
                <w:sz w:val="20"/>
                <w:szCs w:val="20"/>
              </w:rPr>
              <w:t>法律服务机构</w:t>
            </w:r>
          </w:p>
        </w:tc>
        <w:tc>
          <w:tcPr>
            <w:tcW w:w="54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60" w:lineRule="exact"/>
              <w:ind w:left="-63" w:leftChars="-30" w:right="-134" w:rightChars="-64"/>
              <w:jc w:val="center"/>
              <w:rPr>
                <w:rFonts w:hint="default" w:ascii="Times New Roman" w:hAnsi="Times New Roman" w:cs="Times New Roman"/>
              </w:rPr>
            </w:pPr>
            <w:r>
              <w:rPr>
                <w:rFonts w:hint="default" w:ascii="Times New Roman" w:hAnsi="Times New Roman" w:eastAsia="宋体" w:cs="Times New Roman"/>
                <w:kern w:val="0"/>
                <w:sz w:val="20"/>
                <w:szCs w:val="20"/>
              </w:rPr>
              <w:t>其他</w:t>
            </w:r>
          </w:p>
        </w:tc>
        <w:tc>
          <w:tcPr>
            <w:tcW w:w="635"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一、本年新收政府信息公开申请数量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3</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二、上年结转政府信息公开申请数量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eastAsia="宋体" w:cs="Times New Roman"/>
                <w:kern w:val="0"/>
                <w:sz w:val="20"/>
                <w:szCs w:val="20"/>
              </w:rPr>
              <w:t>三、本年度办理结果</w:t>
            </w: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楷体" w:cs="Times New Roman"/>
                <w:kern w:val="0"/>
                <w:sz w:val="20"/>
                <w:szCs w:val="20"/>
              </w:rPr>
              <w:t>（一）予以公开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2</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楷体" w:cs="Times New Roman"/>
                <w:kern w:val="0"/>
                <w:sz w:val="20"/>
                <w:szCs w:val="20"/>
              </w:rPr>
              <w:t>（二）部分公开（区分处理的，只计这一情形，不计其他情形）</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jc w:val="center"/>
              <w:rPr>
                <w:rFonts w:hint="default" w:ascii="Times New Roman" w:hAnsi="Times New Roman" w:cs="Times New Roman"/>
              </w:rPr>
            </w:pPr>
            <w:r>
              <w:rPr>
                <w:rFonts w:hint="default" w:ascii="Times New Roman" w:hAnsi="Times New Roman" w:eastAsia="楷体" w:cs="Times New Roman"/>
                <w:kern w:val="0"/>
                <w:sz w:val="20"/>
                <w:szCs w:val="20"/>
              </w:rPr>
              <w:t>（三）不予公开</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1.属于国家秘密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jc w:val="center"/>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2.其他法律行政法规禁止公开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jc w:val="center"/>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3.危及“三安全一稳定”</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jc w:val="center"/>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4.保护第三方合法权益</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jc w:val="center"/>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5.属于三类内部事务信息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jc w:val="center"/>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6.属于四类过程性信息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jc w:val="center"/>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7.属于行政执法案卷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jc w:val="center"/>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8.属于行政查询事项</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jc w:val="center"/>
              <w:rPr>
                <w:rFonts w:hint="default" w:ascii="Times New Roman" w:hAnsi="Times New Roman" w:cs="Times New Roman"/>
              </w:rPr>
            </w:pPr>
            <w:r>
              <w:rPr>
                <w:rFonts w:hint="default" w:ascii="Times New Roman" w:hAnsi="Times New Roman" w:eastAsia="楷体" w:cs="Times New Roman"/>
                <w:kern w:val="0"/>
                <w:sz w:val="20"/>
                <w:szCs w:val="20"/>
              </w:rPr>
              <w:t>（四）无法提供</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1.本机关不掌握相关政府信息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1</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ind w:left="-107" w:leftChars="-51"/>
              <w:jc w:val="center"/>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2.没有现成信息需要另行制作</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ind w:left="-107" w:leftChars="-51"/>
              <w:jc w:val="center"/>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3.补正后申请内容仍不明确</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jc w:val="center"/>
              <w:rPr>
                <w:rFonts w:hint="default" w:ascii="Times New Roman" w:hAnsi="Times New Roman" w:cs="Times New Roman"/>
              </w:rPr>
            </w:pPr>
            <w:r>
              <w:rPr>
                <w:rFonts w:hint="default" w:ascii="Times New Roman" w:hAnsi="Times New Roman" w:eastAsia="楷体" w:cs="Times New Roman"/>
                <w:kern w:val="0"/>
                <w:sz w:val="20"/>
                <w:szCs w:val="20"/>
              </w:rPr>
              <w:t>（五）不予处理</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1.信访举报投诉类申请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jc w:val="center"/>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2.重复申请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jc w:val="center"/>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cs="Times New Roman"/>
              </w:rPr>
            </w:pPr>
            <w:r>
              <w:rPr>
                <w:rFonts w:hint="default" w:ascii="Times New Roman" w:hAnsi="Times New Roman" w:eastAsia="楷体" w:cs="Times New Roman"/>
                <w:kern w:val="0"/>
                <w:sz w:val="20"/>
                <w:szCs w:val="20"/>
              </w:rPr>
              <w:t>3.要求提供公开出版物</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jc w:val="center"/>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cs="Times New Roman"/>
              </w:rPr>
            </w:pPr>
            <w:r>
              <w:rPr>
                <w:rFonts w:hint="default" w:ascii="Times New Roman" w:hAnsi="Times New Roman" w:eastAsia="楷体" w:cs="Times New Roman"/>
                <w:kern w:val="0"/>
                <w:sz w:val="20"/>
                <w:szCs w:val="20"/>
              </w:rPr>
              <w:t>4.无正当理由大量反复申请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jc w:val="center"/>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00" w:lineRule="exact"/>
              <w:jc w:val="center"/>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5.要求行政机关确认或重新</w:t>
            </w:r>
          </w:p>
          <w:p>
            <w:pPr>
              <w:widowControl/>
              <w:spacing w:line="300" w:lineRule="exact"/>
              <w:ind w:firstLine="200" w:firstLineChars="100"/>
              <w:jc w:val="center"/>
              <w:rPr>
                <w:rFonts w:hint="default" w:ascii="Times New Roman" w:hAnsi="Times New Roman" w:cs="Times New Roman"/>
              </w:rPr>
            </w:pPr>
            <w:r>
              <w:rPr>
                <w:rFonts w:hint="default" w:ascii="Times New Roman" w:hAnsi="Times New Roman" w:eastAsia="楷体" w:cs="Times New Roman"/>
                <w:kern w:val="0"/>
                <w:sz w:val="20"/>
                <w:szCs w:val="20"/>
              </w:rPr>
              <w:t>出具已获取信息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cs="Times New Roman"/>
              </w:rPr>
            </w:pPr>
            <w:r>
              <w:rPr>
                <w:rFonts w:hint="default" w:ascii="Times New Roman" w:hAnsi="Times New Roman" w:eastAsia="楷体" w:cs="Times New Roman"/>
                <w:kern w:val="0"/>
                <w:sz w:val="20"/>
                <w:szCs w:val="20"/>
              </w:rPr>
              <w:t>（六）其他处理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jc w:val="center"/>
              <w:rPr>
                <w:rFonts w:hint="default" w:ascii="Times New Roman" w:hAnsi="Times New Roman" w:cs="Times New Roman"/>
              </w:rPr>
            </w:pPr>
            <w:r>
              <w:rPr>
                <w:rFonts w:hint="default" w:ascii="Times New Roman" w:hAnsi="Times New Roman" w:eastAsia="楷体" w:cs="Times New Roman"/>
                <w:kern w:val="0"/>
                <w:sz w:val="20"/>
                <w:szCs w:val="20"/>
              </w:rPr>
              <w:t>（七）总计</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3</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四、结转下年度继续办理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0</w:t>
            </w:r>
          </w:p>
        </w:tc>
      </w:tr>
    </w:tbl>
    <w:p>
      <w:pPr>
        <w:rPr>
          <w:rFonts w:hint="eastAsia" w:ascii="黑体" w:hAnsi="黑体" w:eastAsia="黑体" w:cs="黑体"/>
          <w:sz w:val="32"/>
          <w:szCs w:val="32"/>
          <w:lang w:eastAsia="zh-CN"/>
        </w:rPr>
      </w:pPr>
      <w:r>
        <w:rPr>
          <w:rFonts w:hint="eastAsia" w:ascii="黑体" w:hAnsi="黑体" w:eastAsia="黑体" w:cs="黑体"/>
          <w:sz w:val="32"/>
          <w:szCs w:val="32"/>
          <w:lang w:eastAsia="zh-CN"/>
        </w:rPr>
        <w:br w:type="page"/>
      </w:r>
    </w:p>
    <w:p>
      <w:pPr>
        <w:numPr>
          <w:ilvl w:val="0"/>
          <w:numId w:val="1"/>
        </w:num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政府信息公开的收费及减免情况</w:t>
      </w:r>
      <w:r>
        <w:rPr>
          <w:rFonts w:hint="eastAsia" w:ascii="黑体" w:hAnsi="黑体" w:eastAsia="黑体" w:cs="黑体"/>
          <w:sz w:val="32"/>
          <w:szCs w:val="32"/>
          <w:lang w:eastAsia="zh-CN"/>
        </w:rPr>
        <w:br w:type="textWrapping"/>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lang w:val="en-US" w:eastAsia="zh-CN"/>
        </w:rPr>
        <w:t xml:space="preserve"> 2019年度，区科学技术局没有收取任何依申请公开信息的费用。</w:t>
      </w:r>
    </w:p>
    <w:p>
      <w:pPr>
        <w:numPr>
          <w:ilvl w:val="0"/>
          <w:numId w:val="1"/>
        </w:num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政府信息公开行政复议、行政诉讼情况</w:t>
      </w:r>
    </w:p>
    <w:p>
      <w:pPr>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2019年度，区科学技术局没有发生因政府信息公开涉及的行政复议、提起行政诉讼情况。</w:t>
      </w:r>
    </w:p>
    <w:tbl>
      <w:tblPr>
        <w:tblStyle w:val="4"/>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ind w:left="-149" w:leftChars="-71" w:right="-170" w:rightChars="-81"/>
              <w:jc w:val="center"/>
              <w:rPr>
                <w:rFonts w:hint="eastAsia" w:ascii="宋体" w:hAnsi="宋体" w:eastAsia="宋体" w:cs="宋体"/>
                <w:kern w:val="0"/>
                <w:sz w:val="20"/>
                <w:szCs w:val="20"/>
              </w:rPr>
            </w:pPr>
            <w:r>
              <w:rPr>
                <w:rFonts w:hint="eastAsia" w:ascii="宋体" w:hAnsi="宋体" w:eastAsia="宋体" w:cs="宋体"/>
                <w:kern w:val="0"/>
                <w:sz w:val="20"/>
                <w:szCs w:val="20"/>
              </w:rPr>
              <w:t>结果</w:t>
            </w:r>
          </w:p>
          <w:p>
            <w:pPr>
              <w:widowControl/>
              <w:ind w:left="-149" w:leftChars="-71" w:right="-170" w:rightChars="-81"/>
              <w:jc w:val="center"/>
            </w:pPr>
            <w:r>
              <w:rPr>
                <w:rFonts w:hint="eastAsia" w:ascii="宋体" w:hAnsi="宋体" w:eastAsia="宋体" w:cs="宋体"/>
                <w:kern w:val="0"/>
                <w:sz w:val="20"/>
                <w:szCs w:val="20"/>
              </w:rPr>
              <w:t>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43" w:leftChars="-21" w:right="-132" w:rightChars="-63" w:hanging="1"/>
              <w:jc w:val="center"/>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82" w:leftChars="-39" w:right="-97" w:rightChars="-46"/>
              <w:jc w:val="center"/>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18" w:leftChars="-56" w:right="-118" w:rightChars="-56"/>
              <w:jc w:val="center"/>
              <w:rPr>
                <w:rFonts w:hint="eastAsia" w:ascii="宋体" w:hAnsi="宋体" w:eastAsia="宋体" w:cs="宋体"/>
                <w:kern w:val="0"/>
                <w:sz w:val="20"/>
                <w:szCs w:val="20"/>
              </w:rPr>
            </w:pPr>
            <w:r>
              <w:rPr>
                <w:rFonts w:hint="eastAsia" w:ascii="宋体" w:hAnsi="宋体" w:eastAsia="宋体" w:cs="宋体"/>
                <w:kern w:val="0"/>
                <w:sz w:val="20"/>
                <w:szCs w:val="20"/>
              </w:rPr>
              <w:t>尚未</w:t>
            </w:r>
          </w:p>
          <w:p>
            <w:pPr>
              <w:widowControl/>
              <w:ind w:left="-118" w:leftChars="-56" w:right="-118" w:rightChars="-56"/>
              <w:jc w:val="center"/>
            </w:pPr>
            <w:r>
              <w:rPr>
                <w:rFonts w:hint="eastAsia" w:ascii="宋体" w:hAnsi="宋体" w:eastAsia="宋体" w:cs="宋体"/>
                <w:kern w:val="0"/>
                <w:sz w:val="20"/>
                <w:szCs w:val="20"/>
              </w:rPr>
              <w:t>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hint="eastAsia" w:ascii="宋体" w:hAnsi="宋体" w:eastAsia="宋体" w:cs="宋体"/>
                <w:kern w:val="0"/>
                <w:sz w:val="20"/>
                <w:szCs w:val="20"/>
              </w:rPr>
            </w:pPr>
            <w:r>
              <w:rPr>
                <w:rFonts w:hint="eastAsia" w:ascii="宋体" w:hAnsi="宋体" w:eastAsia="宋体" w:cs="宋体"/>
                <w:kern w:val="0"/>
                <w:sz w:val="20"/>
                <w:szCs w:val="20"/>
              </w:rPr>
              <w:t>总</w:t>
            </w:r>
          </w:p>
          <w:p>
            <w:pPr>
              <w:widowControl/>
              <w:spacing w:line="320" w:lineRule="exact"/>
              <w:jc w:val="center"/>
            </w:pPr>
            <w:r>
              <w:rPr>
                <w:rFonts w:hint="eastAsia" w:ascii="宋体" w:hAnsi="宋体" w:eastAsia="宋体" w:cs="宋体"/>
                <w:kern w:val="0"/>
                <w:sz w:val="20"/>
                <w:szCs w:val="20"/>
              </w:rPr>
              <w:t>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105" w:leftChars="-50" w:right="-126" w:rightChars="-60"/>
              <w:jc w:val="center"/>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86" w:leftChars="-41" w:right="-88" w:rightChars="-42"/>
              <w:jc w:val="cente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26" w:leftChars="-60" w:right="-136" w:rightChars="-65"/>
              <w:jc w:val="center"/>
              <w:rPr>
                <w:rFonts w:hint="eastAsia" w:ascii="宋体" w:hAnsi="宋体" w:eastAsia="宋体" w:cs="宋体"/>
                <w:kern w:val="0"/>
                <w:sz w:val="20"/>
                <w:szCs w:val="20"/>
              </w:rPr>
            </w:pPr>
            <w:r>
              <w:rPr>
                <w:rFonts w:hint="eastAsia" w:ascii="宋体" w:hAnsi="宋体" w:eastAsia="宋体" w:cs="宋体"/>
                <w:kern w:val="0"/>
                <w:sz w:val="20"/>
                <w:szCs w:val="20"/>
              </w:rPr>
              <w:t>其他</w:t>
            </w:r>
          </w:p>
          <w:p>
            <w:pPr>
              <w:widowControl/>
              <w:ind w:left="-126" w:leftChars="-60" w:right="-136" w:rightChars="-65"/>
              <w:jc w:val="center"/>
            </w:pPr>
            <w:r>
              <w:rPr>
                <w:rFonts w:hint="eastAsia" w:ascii="宋体" w:hAnsi="宋体" w:eastAsia="宋体" w:cs="宋体"/>
                <w:kern w:val="0"/>
                <w:sz w:val="20"/>
                <w:szCs w:val="20"/>
              </w:rPr>
              <w:t>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64" w:leftChars="-78" w:right="-153" w:rightChars="-73"/>
              <w:jc w:val="center"/>
              <w:rPr>
                <w:rFonts w:hint="eastAsia" w:ascii="宋体" w:hAnsi="宋体" w:eastAsia="宋体" w:cs="宋体"/>
                <w:kern w:val="0"/>
                <w:sz w:val="20"/>
                <w:szCs w:val="20"/>
              </w:rPr>
            </w:pPr>
            <w:r>
              <w:rPr>
                <w:rFonts w:hint="eastAsia" w:ascii="宋体" w:hAnsi="宋体" w:eastAsia="宋体" w:cs="宋体"/>
                <w:kern w:val="0"/>
                <w:sz w:val="20"/>
                <w:szCs w:val="20"/>
              </w:rPr>
              <w:t>尚未</w:t>
            </w:r>
          </w:p>
          <w:p>
            <w:pPr>
              <w:widowControl/>
              <w:ind w:left="-164" w:leftChars="-78" w:right="-153" w:rightChars="-73"/>
              <w:jc w:val="center"/>
            </w:pPr>
            <w:r>
              <w:rPr>
                <w:rFonts w:hint="eastAsia" w:ascii="宋体" w:hAnsi="宋体" w:eastAsia="宋体" w:cs="宋体"/>
                <w:kern w:val="0"/>
                <w:sz w:val="20"/>
                <w:szCs w:val="20"/>
              </w:rPr>
              <w:t>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99" w:leftChars="-47" w:right="-78" w:rightChars="-37"/>
              <w:jc w:val="center"/>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36" w:leftChars="-65" w:right="-124" w:rightChars="-59"/>
              <w:jc w:val="center"/>
              <w:rPr>
                <w:rFonts w:hint="eastAsia" w:ascii="宋体" w:hAnsi="宋体" w:eastAsia="宋体" w:cs="宋体"/>
                <w:kern w:val="0"/>
                <w:sz w:val="20"/>
                <w:szCs w:val="20"/>
              </w:rPr>
            </w:pPr>
            <w:r>
              <w:rPr>
                <w:rFonts w:hint="eastAsia" w:ascii="宋体" w:hAnsi="宋体" w:eastAsia="宋体" w:cs="宋体"/>
                <w:kern w:val="0"/>
                <w:sz w:val="20"/>
                <w:szCs w:val="20"/>
              </w:rPr>
              <w:t>结果</w:t>
            </w:r>
          </w:p>
          <w:p>
            <w:pPr>
              <w:widowControl/>
              <w:ind w:left="-136" w:leftChars="-65" w:right="-124" w:rightChars="-59"/>
              <w:jc w:val="center"/>
            </w:pPr>
            <w:r>
              <w:rPr>
                <w:rFonts w:hint="eastAsia" w:ascii="宋体" w:hAnsi="宋体" w:eastAsia="宋体" w:cs="宋体"/>
                <w:kern w:val="0"/>
                <w:sz w:val="20"/>
                <w:szCs w:val="20"/>
              </w:rPr>
              <w:t>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73" w:leftChars="-83" w:right="-134" w:rightChars="-64" w:hanging="1"/>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p>
            <w:pPr>
              <w:widowControl/>
              <w:ind w:left="-173" w:leftChars="-83" w:right="-134" w:rightChars="-64" w:hanging="1"/>
              <w:jc w:val="center"/>
            </w:pPr>
            <w:r>
              <w:rPr>
                <w:rFonts w:hint="eastAsia" w:ascii="宋体" w:hAnsi="宋体" w:eastAsia="宋体" w:cs="宋体"/>
                <w:color w:val="000000"/>
                <w:kern w:val="0"/>
                <w:sz w:val="20"/>
                <w:szCs w:val="20"/>
              </w:rPr>
              <w:t>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67" w:leftChars="-33" w:right="-105" w:rightChars="-50" w:hanging="2" w:hangingChars="1"/>
              <w:jc w:val="center"/>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color w:val="000000"/>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宋体"/>
                <w:lang w:val="en-US" w:eastAsia="zh-CN"/>
              </w:rPr>
            </w:pPr>
            <w:r>
              <w:rPr>
                <w:rFonts w:hint="eastAsia" w:cs="Calibri"/>
                <w:kern w:val="0"/>
                <w:sz w:val="20"/>
                <w:szCs w:val="20"/>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宋体"/>
                <w:lang w:val="en-US" w:eastAsia="zh-CN"/>
              </w:rPr>
            </w:pPr>
            <w:r>
              <w:rPr>
                <w:rFonts w:hint="eastAsia" w:cs="Calibri"/>
                <w:kern w:val="0"/>
                <w:sz w:val="20"/>
                <w:szCs w:val="20"/>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宋体"/>
                <w:lang w:val="en-US" w:eastAsia="zh-CN"/>
              </w:rPr>
            </w:pPr>
            <w:r>
              <w:rPr>
                <w:rFonts w:hint="eastAsia" w:cs="Calibri"/>
                <w:kern w:val="0"/>
                <w:sz w:val="20"/>
                <w:szCs w:val="20"/>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cs="Calibri"/>
                <w:kern w:val="0"/>
                <w:sz w:val="20"/>
                <w:szCs w:val="20"/>
                <w:lang w:val="en-US" w:eastAsia="zh-CN"/>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cs="Calibri"/>
                <w:kern w:val="0"/>
                <w:sz w:val="20"/>
                <w:szCs w:val="20"/>
                <w:lang w:val="en-US" w:eastAsia="zh-CN"/>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ascii="宋体" w:hAnsi="宋体" w:cs="宋体"/>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ascii="宋体" w:hAnsi="宋体" w:cs="宋体"/>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ascii="宋体" w:hAnsi="宋体" w:cs="宋体"/>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ascii="宋体" w:hAnsi="宋体" w:cs="宋体"/>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ascii="宋体" w:hAnsi="宋体" w:cs="宋体"/>
                <w:color w:val="000000"/>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宋体"/>
                <w:lang w:val="en-US" w:eastAsia="zh-CN"/>
              </w:rPr>
            </w:pPr>
            <w:r>
              <w:rPr>
                <w:rFonts w:hint="eastAsia" w:ascii="宋体" w:hAnsi="宋体" w:cs="宋体"/>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宋体"/>
                <w:lang w:val="en-US" w:eastAsia="zh-CN"/>
              </w:rPr>
            </w:pPr>
            <w:r>
              <w:rPr>
                <w:rFonts w:hint="eastAsia" w:ascii="宋体" w:hAnsi="宋体" w:cs="宋体"/>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ascii="宋体" w:hAnsi="宋体" w:cs="宋体"/>
                <w:color w:val="000000"/>
                <w:kern w:val="0"/>
                <w:sz w:val="20"/>
                <w:szCs w:val="20"/>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宋体"/>
                <w:lang w:val="en-US" w:eastAsia="zh-CN"/>
              </w:rPr>
            </w:pPr>
            <w:r>
              <w:rPr>
                <w:rFonts w:hint="eastAsia" w:ascii="宋体" w:hAnsi="宋体" w:cs="宋体"/>
                <w:kern w:val="0"/>
                <w:sz w:val="20"/>
                <w:szCs w:val="20"/>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eastAsia" w:ascii="宋体" w:eastAsia="宋体"/>
                <w:sz w:val="24"/>
                <w:lang w:val="en-US" w:eastAsia="zh-CN"/>
              </w:rPr>
            </w:pPr>
            <w:r>
              <w:rPr>
                <w:rFonts w:hint="eastAsia" w:ascii="宋体"/>
                <w:sz w:val="24"/>
                <w:lang w:val="en-US" w:eastAsia="zh-CN"/>
              </w:rPr>
              <w:t>0</w:t>
            </w:r>
          </w:p>
        </w:tc>
      </w:tr>
    </w:tbl>
    <w:p>
      <w:pPr>
        <w:numPr>
          <w:ilvl w:val="0"/>
          <w:numId w:val="1"/>
        </w:num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办理人大代表建议、政协委员提案情况</w:t>
      </w:r>
    </w:p>
    <w:p>
      <w:pPr>
        <w:numPr>
          <w:ilvl w:val="0"/>
          <w:numId w:val="0"/>
        </w:numPr>
        <w:ind w:firstLine="420" w:firstLineChars="200"/>
        <w:rPr>
          <w:rFonts w:hint="eastAsia" w:ascii="仿宋_GB2312" w:hAnsi="仿宋_GB2312" w:eastAsia="仿宋_GB2312" w:cs="仿宋_GB2312"/>
          <w:sz w:val="32"/>
          <w:szCs w:val="32"/>
          <w:lang w:eastAsia="zh-CN"/>
        </w:rPr>
      </w:pPr>
      <w:r>
        <w:drawing>
          <wp:anchor distT="0" distB="0" distL="114300" distR="114300" simplePos="0" relativeHeight="251662336" behindDoc="0" locked="0" layoutInCell="1" allowOverlap="1">
            <wp:simplePos x="0" y="0"/>
            <wp:positionH relativeFrom="column">
              <wp:posOffset>386715</wp:posOffset>
            </wp:positionH>
            <wp:positionV relativeFrom="paragraph">
              <wp:posOffset>397510</wp:posOffset>
            </wp:positionV>
            <wp:extent cx="4195445" cy="3917950"/>
            <wp:effectExtent l="0" t="0" r="14605" b="635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4195445" cy="3917950"/>
                    </a:xfrm>
                    <a:prstGeom prst="rect">
                      <a:avLst/>
                    </a:prstGeom>
                    <a:noFill/>
                    <a:ln>
                      <a:noFill/>
                    </a:ln>
                  </pic:spPr>
                </pic:pic>
              </a:graphicData>
            </a:graphic>
          </wp:anchor>
        </w:drawing>
      </w:r>
      <w:r>
        <w:rPr>
          <w:rFonts w:hint="eastAsia" w:ascii="仿宋_GB2312" w:hAnsi="仿宋_GB2312" w:eastAsia="仿宋_GB2312" w:cs="仿宋_GB2312"/>
          <w:sz w:val="32"/>
          <w:szCs w:val="32"/>
          <w:lang w:eastAsia="zh-CN"/>
        </w:rPr>
        <w:t>区科学技术局2019年承办的人大代表建议</w:t>
      </w:r>
      <w:r>
        <w:rPr>
          <w:rFonts w:hint="eastAsia" w:ascii="仿宋_GB2312" w:hAnsi="仿宋_GB2312" w:eastAsia="仿宋_GB2312" w:cs="仿宋_GB2312"/>
          <w:sz w:val="32"/>
          <w:szCs w:val="32"/>
          <w:lang w:val="en-US" w:eastAsia="zh-CN"/>
        </w:rPr>
        <w:t>1项</w:t>
      </w:r>
      <w:r>
        <w:rPr>
          <w:rFonts w:hint="eastAsia" w:ascii="仿宋_GB2312" w:hAnsi="仿宋_GB2312" w:eastAsia="仿宋_GB2312" w:cs="仿宋_GB2312"/>
          <w:sz w:val="32"/>
          <w:szCs w:val="32"/>
          <w:lang w:eastAsia="zh-CN"/>
        </w:rPr>
        <w:t>、政协提案</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项，均在规定期限内书面答复相关代表及委员，办理情况也在张店区人民政府门户网站公开发布。</w:t>
      </w:r>
    </w:p>
    <w:p>
      <w:pPr>
        <w:numPr>
          <w:ilvl w:val="0"/>
          <w:numId w:val="1"/>
        </w:num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政府信息公开工作存在的主要问题及改进措施</w:t>
      </w:r>
    </w:p>
    <w:p>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2019年，张店区科技局政府信息公开工作运行情况良好，取得一定的成绩，但仍存在部分问题和不足，与广大群众的要求还有一定差距，下一步我们将采取以下措施改进：</w:t>
      </w:r>
    </w:p>
    <w:p>
      <w:pPr>
        <w:numPr>
          <w:ilvl w:val="0"/>
          <w:numId w:val="0"/>
        </w:num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一是继续加强政府信息和政务公开工作的领导，完善制度，全力推进政府信息公开工作。二是贯彻实施好《条例》，深化和丰富政府信息和政务公开的内容，注重与群众利益密切相关事项的公示，做到权力事项更加阳光透明。三是创新载体建设，拓宽公开渠道。充分发挥微信公众号新媒体作用，拓宽便民服务通道，以喜闻乐见的形式做好科技政策宣传。四是注重队伍建设，提升能力水平。持续抓好工作人员素质，通过举办培训班和交流活动，提升政府信息公开的业务水平，保障信息公开工作顺利推进。</w:t>
      </w:r>
    </w:p>
    <w:p>
      <w:pPr>
        <w:numPr>
          <w:ilvl w:val="0"/>
          <w:numId w:val="1"/>
        </w:num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其他需要报告的事项</w:t>
      </w:r>
    </w:p>
    <w:p>
      <w:pPr>
        <w:numPr>
          <w:ilvl w:val="0"/>
          <w:numId w:val="0"/>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本单位不存在其他需要报告的内容。</w:t>
      </w:r>
    </w:p>
    <w:p>
      <w:pPr>
        <w:ind w:firstLine="640" w:firstLineChars="200"/>
        <w:rPr>
          <w:rFonts w:hint="eastAsia" w:ascii="Times New Roman" w:hAnsi="Times New Roman" w:eastAsia="仿宋_GB2312" w:cs="Times New Roman"/>
          <w:sz w:val="32"/>
          <w:szCs w:val="32"/>
          <w:lang w:eastAsia="zh-CN"/>
        </w:rPr>
      </w:pPr>
    </w:p>
    <w:sectPr>
      <w:footerReference r:id="rId3" w:type="default"/>
      <w:pgSz w:w="11906" w:h="16838"/>
      <w:pgMar w:top="1327" w:right="1800" w:bottom="1213"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1</w:t>
                          </w:r>
                          <w:r>
                            <w:rPr>
                              <w:rFonts w:hint="default" w:ascii="Times New Roman" w:hAnsi="Times New Roman" w:cs="Times New Roman"/>
                              <w:sz w:val="21"/>
                              <w:szCs w:val="21"/>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i0l3TM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1</w:t>
                    </w:r>
                    <w:r>
                      <w:rPr>
                        <w:rFonts w:hint="default" w:ascii="Times New Roman" w:hAnsi="Times New Roman" w:cs="Times New Roman"/>
                        <w:sz w:val="21"/>
                        <w:szCs w:val="21"/>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85A21"/>
    <w:multiLevelType w:val="singleLevel"/>
    <w:tmpl w:val="02F85A21"/>
    <w:lvl w:ilvl="0" w:tentative="0">
      <w:start w:val="1"/>
      <w:numFmt w:val="chineseCounting"/>
      <w:suff w:val="nothing"/>
      <w:lvlText w:val="（%1）"/>
      <w:lvlJc w:val="left"/>
      <w:rPr>
        <w:rFonts w:hint="eastAsia"/>
      </w:rPr>
    </w:lvl>
  </w:abstractNum>
  <w:abstractNum w:abstractNumId="1">
    <w:nsid w:val="6A075C0C"/>
    <w:multiLevelType w:val="singleLevel"/>
    <w:tmpl w:val="6A075C0C"/>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803274"/>
    <w:rsid w:val="04362736"/>
    <w:rsid w:val="0DC77BB3"/>
    <w:rsid w:val="0EA727E8"/>
    <w:rsid w:val="114805A3"/>
    <w:rsid w:val="1D790411"/>
    <w:rsid w:val="22DB43AB"/>
    <w:rsid w:val="25464047"/>
    <w:rsid w:val="2D803274"/>
    <w:rsid w:val="37A10FCC"/>
    <w:rsid w:val="37EE4D2F"/>
    <w:rsid w:val="3A0F7A08"/>
    <w:rsid w:val="400C3B1F"/>
    <w:rsid w:val="436A0F79"/>
    <w:rsid w:val="4A6C3DFC"/>
    <w:rsid w:val="4BAF27E7"/>
    <w:rsid w:val="4BC26FFC"/>
    <w:rsid w:val="4BF06515"/>
    <w:rsid w:val="4E36542D"/>
    <w:rsid w:val="528572D9"/>
    <w:rsid w:val="589C0FDF"/>
    <w:rsid w:val="58DB12F1"/>
    <w:rsid w:val="5CA84B25"/>
    <w:rsid w:val="5F702C27"/>
    <w:rsid w:val="67994C9E"/>
    <w:rsid w:val="6A380878"/>
    <w:rsid w:val="6DC91C0B"/>
    <w:rsid w:val="70D12ADE"/>
    <w:rsid w:val="71F8757E"/>
    <w:rsid w:val="75F25D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2215</Words>
  <Characters>2346</Characters>
  <Lines>0</Lines>
  <Paragraphs>0</Paragraphs>
  <TotalTime>12</TotalTime>
  <ScaleCrop>false</ScaleCrop>
  <LinksUpToDate>false</LinksUpToDate>
  <CharactersWithSpaces>2381</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2020-01-19T06:20:00Z</dcterms:created>
  <dc:creator>郑连敏</dc:creator>
  <cp:lastModifiedBy>郑连敏</cp:lastModifiedBy>
  <cp:lastPrinted>2020-01-20T07:56:00Z</cp:lastPrinted>
  <dcterms:modified xsi:type="dcterms:W3CDTF">2020-01-21T00:56:50Z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