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张店区人民政府办公室2025年政府信息公开工作年度报告</w:t>
      </w:r>
    </w:p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  <w:r>
        <w:rPr>
          <w:rFonts w:hint="default"/>
          <w:color w:val="auto"/>
          <w:lang w:val="en-US" w:eastAsia="zh-CN"/>
        </w:rPr>
        <w:t>本年度报告中所列数据的统计期限自202</w:t>
      </w:r>
      <w:r>
        <w:rPr>
          <w:rFonts w:hint="eastAsia"/>
          <w:color w:val="auto"/>
          <w:lang w:val="en-US" w:eastAsia="zh-CN"/>
        </w:rPr>
        <w:t>5</w:t>
      </w:r>
      <w:r>
        <w:rPr>
          <w:rFonts w:hint="default"/>
          <w:color w:val="auto"/>
          <w:lang w:val="en-US" w:eastAsia="zh-CN"/>
        </w:rPr>
        <w:t>年1月1日起，至202</w:t>
      </w:r>
      <w:r>
        <w:rPr>
          <w:rFonts w:hint="eastAsia"/>
          <w:color w:val="auto"/>
          <w:lang w:val="en-US" w:eastAsia="zh-CN"/>
        </w:rPr>
        <w:t>5</w:t>
      </w:r>
      <w:r>
        <w:rPr>
          <w:rFonts w:hint="default"/>
          <w:color w:val="auto"/>
          <w:lang w:val="en-US" w:eastAsia="zh-CN"/>
        </w:rPr>
        <w:t>年12月31日止。如对报告内容有疑问</w:t>
      </w:r>
      <w:r>
        <w:rPr>
          <w:rFonts w:hint="eastAsia"/>
          <w:color w:val="auto"/>
          <w:lang w:val="en-US" w:eastAsia="zh-CN"/>
        </w:rPr>
        <w:t>，</w:t>
      </w:r>
      <w:r>
        <w:rPr>
          <w:rFonts w:hint="default"/>
          <w:color w:val="auto"/>
          <w:lang w:val="en-US" w:eastAsia="zh-CN"/>
        </w:rPr>
        <w:t>请与张店区人民政府办公室联系（地址：淄博市张店区新村西路226号区政务中心；邮编：255022；联系电话：0533-2869836</w:t>
      </w:r>
      <w:r>
        <w:rPr>
          <w:rFonts w:hint="eastAsia"/>
          <w:color w:val="auto"/>
          <w:lang w:val="en-US" w:eastAsia="zh-CN"/>
        </w:rPr>
        <w:t>；电子邮箱：zdzwgk@zb.shandong.cn</w:t>
      </w:r>
      <w:r>
        <w:rPr>
          <w:rFonts w:hint="default"/>
          <w:color w:val="auto"/>
          <w:lang w:val="en-US" w:eastAsia="zh-CN"/>
        </w:rPr>
        <w:t>）</w:t>
      </w:r>
      <w:r>
        <w:rPr>
          <w:rFonts w:hint="eastAsia"/>
          <w:color w:val="auto"/>
          <w:lang w:val="en-US"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eastAsia" w:eastAsia="黑体"/>
          <w:color w:val="auto"/>
          <w:sz w:val="32"/>
          <w:lang w:val="en-US" w:eastAsia="zh-CN"/>
        </w:rPr>
      </w:pPr>
      <w:r>
        <w:rPr>
          <w:rFonts w:hint="eastAsia" w:ascii="Times New Roman" w:hAnsi="Times New Roman" w:eastAsia="黑体" w:cstheme="minorBidi"/>
          <w:color w:val="auto"/>
          <w:kern w:val="2"/>
          <w:sz w:val="32"/>
          <w:szCs w:val="24"/>
          <w:lang w:val="en-US" w:eastAsia="zh-CN" w:bidi="ar-SA"/>
        </w:rPr>
        <w:t>一、</w:t>
      </w:r>
      <w:r>
        <w:rPr>
          <w:rFonts w:hint="eastAsia" w:eastAsia="黑体"/>
          <w:color w:val="auto"/>
          <w:sz w:val="32"/>
          <w:lang w:val="en-US" w:eastAsia="zh-CN"/>
        </w:rPr>
        <w:t>总体情况</w:t>
      </w:r>
    </w:p>
    <w:p>
      <w:pPr>
        <w:numPr>
          <w:ilvl w:val="0"/>
          <w:numId w:val="0"/>
        </w:numPr>
        <w:ind w:firstLine="640"/>
        <w:rPr>
          <w:rFonts w:hint="eastAsia" w:cs="Times New Roman"/>
          <w:color w:val="auto"/>
          <w:sz w:val="32"/>
          <w:szCs w:val="32"/>
          <w:lang w:val="en-US" w:eastAsia="zh-CN"/>
        </w:rPr>
      </w:pPr>
      <w:r>
        <w:rPr>
          <w:rFonts w:hint="eastAsia" w:cs="Times New Roman"/>
          <w:color w:val="auto"/>
          <w:sz w:val="32"/>
          <w:szCs w:val="32"/>
          <w:lang w:val="en-US" w:eastAsia="zh-CN"/>
        </w:rPr>
        <w:t>2025年，区政府办公室认真贯彻国家、省、市政务公开工作部署要求，准确把握新时代政务公开职责定位，坚持以人民为中心的发展思想，充分发挥以公开促落实、强监管、提效能的作用，全力推动政务公开工作高质量发展。</w:t>
      </w:r>
    </w:p>
    <w:p>
      <w:pPr>
        <w:numPr>
          <w:ilvl w:val="0"/>
          <w:numId w:val="0"/>
        </w:numPr>
        <w:ind w:firstLine="640" w:firstLineChars="200"/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  <w:highlight w:val="none"/>
          <w:lang w:val="en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highlight w:val="none"/>
          <w:lang w:val="en-US" w:eastAsia="zh-CN" w:bidi="ar-SA"/>
        </w:rPr>
        <w:t>（一）主动公开方面</w:t>
      </w:r>
    </w:p>
    <w:p>
      <w:pPr>
        <w:numPr>
          <w:ilvl w:val="0"/>
          <w:numId w:val="0"/>
        </w:numPr>
        <w:ind w:firstLine="640" w:firstLineChars="200"/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cs="仿宋_GB2312"/>
          <w:color w:val="auto"/>
          <w:sz w:val="32"/>
          <w:szCs w:val="32"/>
          <w:lang w:val="en-US" w:eastAsia="zh-CN"/>
        </w:rPr>
        <w:t>2025年，本机关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印发《2025年张店区政务公开工作要点分工方案》作为年度工作指引，明确公开事项，细化责任分工，夯实主动公开基础</w:t>
      </w:r>
      <w:r>
        <w:rPr>
          <w:rFonts w:hint="eastAsia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通过融公开平台发布各类信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  <w:t>息</w:t>
      </w:r>
      <w:r>
        <w:rPr>
          <w:rFonts w:hint="default" w:ascii="Times New Roman" w:hAnsi="Times New Roman" w:eastAsia="仿宋_GB2312" w:cs="仿宋_GB2312"/>
          <w:color w:val="auto"/>
          <w:sz w:val="32"/>
          <w:szCs w:val="32"/>
          <w:highlight w:val="none"/>
          <w:lang w:val="en" w:eastAsia="zh-CN"/>
        </w:rPr>
        <w:t>7000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" w:eastAsia="zh-CN"/>
        </w:rPr>
        <w:t>余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  <w:t>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cs="仿宋_GB2312"/>
          <w:color w:val="auto"/>
          <w:sz w:val="32"/>
          <w:szCs w:val="32"/>
          <w:lang w:eastAsia="zh-CN"/>
        </w:rPr>
        <w:t>围绕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财政、</w:t>
      </w:r>
      <w:r>
        <w:rPr>
          <w:rFonts w:hint="eastAsia" w:cs="仿宋_GB2312"/>
          <w:color w:val="auto"/>
          <w:sz w:val="32"/>
          <w:szCs w:val="32"/>
          <w:lang w:eastAsia="zh-CN"/>
        </w:rPr>
        <w:t>生态环境、应急管理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等重点领域</w:t>
      </w:r>
      <w:r>
        <w:rPr>
          <w:rFonts w:hint="eastAsia" w:cs="仿宋_GB2312"/>
          <w:color w:val="auto"/>
          <w:sz w:val="32"/>
          <w:szCs w:val="32"/>
          <w:lang w:eastAsia="zh-CN"/>
        </w:rPr>
        <w:t>，推行“政策+解读”一体化公开模式，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深化政府信息公开</w:t>
      </w:r>
      <w:r>
        <w:rPr>
          <w:rFonts w:hint="eastAsia" w:cs="仿宋_GB2312"/>
          <w:color w:val="auto"/>
          <w:sz w:val="32"/>
          <w:szCs w:val="32"/>
          <w:lang w:eastAsia="zh-CN"/>
        </w:rPr>
        <w:t>，制作</w:t>
      </w:r>
      <w:r>
        <w:rPr>
          <w:rFonts w:hint="default" w:ascii="Times New Roman" w:hAnsi="Times New Roman" w:eastAsia="仿宋_GB2312" w:cs="仿宋_GB2312"/>
          <w:color w:val="auto"/>
          <w:sz w:val="32"/>
          <w:szCs w:val="32"/>
          <w:lang w:val="en" w:eastAsia="zh-CN"/>
        </w:rPr>
        <w:t>文稿解读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cs="仿宋_GB2312"/>
          <w:color w:val="auto"/>
          <w:sz w:val="32"/>
          <w:szCs w:val="32"/>
          <w:lang w:val="en" w:eastAsia="zh-CN"/>
        </w:rPr>
        <w:t>条</w:t>
      </w:r>
      <w:r>
        <w:rPr>
          <w:rFonts w:hint="default" w:ascii="Times New Roman" w:hAnsi="Times New Roman" w:eastAsia="仿宋_GB2312" w:cs="仿宋_GB2312"/>
          <w:color w:val="auto"/>
          <w:sz w:val="32"/>
          <w:szCs w:val="32"/>
          <w:lang w:val="en" w:eastAsia="zh-CN"/>
        </w:rPr>
        <w:t>、领导干部解读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cs="仿宋_GB2312"/>
          <w:color w:val="auto"/>
          <w:sz w:val="32"/>
          <w:szCs w:val="32"/>
          <w:lang w:val="en" w:eastAsia="zh-CN"/>
        </w:rPr>
        <w:t>条</w:t>
      </w:r>
      <w:r>
        <w:rPr>
          <w:rFonts w:hint="default" w:ascii="Times New Roman" w:hAnsi="Times New Roman" w:eastAsia="仿宋_GB2312" w:cs="仿宋_GB2312"/>
          <w:color w:val="auto"/>
          <w:sz w:val="32"/>
          <w:szCs w:val="32"/>
          <w:lang w:val="en" w:eastAsia="zh-CN"/>
        </w:rPr>
        <w:t>、专家解读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cs="仿宋_GB2312"/>
          <w:color w:val="auto"/>
          <w:sz w:val="32"/>
          <w:szCs w:val="32"/>
          <w:lang w:val="en" w:eastAsia="zh-CN"/>
        </w:rPr>
        <w:t>条</w:t>
      </w:r>
      <w:r>
        <w:rPr>
          <w:rFonts w:hint="default" w:ascii="Times New Roman" w:hAnsi="Times New Roman" w:eastAsia="仿宋_GB2312" w:cs="仿宋_GB2312"/>
          <w:color w:val="auto"/>
          <w:sz w:val="32"/>
          <w:szCs w:val="32"/>
          <w:lang w:val="en" w:eastAsia="zh-CN"/>
        </w:rPr>
        <w:t>、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图文解读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>条，重要政策文件解读率达100%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。构建公众参与常态化体系</w:t>
      </w:r>
      <w:r>
        <w:rPr>
          <w:rFonts w:hint="eastAsia" w:cs="仿宋_GB2312"/>
          <w:color w:val="auto"/>
          <w:sz w:val="32"/>
          <w:szCs w:val="32"/>
          <w:lang w:eastAsia="zh-CN"/>
        </w:rPr>
        <w:t>，配合上级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优化</w:t>
      </w:r>
      <w:r>
        <w:rPr>
          <w:rFonts w:hint="eastAsia" w:cs="仿宋_GB2312"/>
          <w:color w:val="auto"/>
          <w:sz w:val="32"/>
          <w:szCs w:val="32"/>
          <w:lang w:eastAsia="zh-CN"/>
        </w:rPr>
        <w:t>政府开放活动专栏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cs="仿宋_GB2312"/>
          <w:color w:val="auto"/>
          <w:sz w:val="32"/>
          <w:szCs w:val="32"/>
          <w:lang w:eastAsia="zh-CN"/>
        </w:rPr>
        <w:t>采取活动预告征集在先、开展情况发布在后的模式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，切实保障群众的知情权、表达权、参与权和监督权。</w:t>
      </w:r>
    </w:p>
    <w:p>
      <w:pPr>
        <w:numPr>
          <w:ilvl w:val="0"/>
          <w:numId w:val="0"/>
        </w:numPr>
        <w:ind w:firstLine="640" w:firstLineChars="200"/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highlight w:val="none"/>
          <w:lang w:val="en-US" w:eastAsia="zh-CN" w:bidi="ar-SA"/>
        </w:rPr>
        <w:t>（二）依申请公开方面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cs="仿宋_GB2312"/>
          <w:color w:val="auto"/>
          <w:sz w:val="32"/>
          <w:szCs w:val="32"/>
          <w:lang w:eastAsia="zh-CN"/>
        </w:rPr>
        <w:t>以建立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全省一体化依申请公开管理平台</w:t>
      </w:r>
      <w:r>
        <w:rPr>
          <w:rFonts w:hint="eastAsia" w:cs="仿宋_GB2312"/>
          <w:color w:val="auto"/>
          <w:sz w:val="32"/>
          <w:szCs w:val="32"/>
          <w:lang w:eastAsia="zh-CN"/>
        </w:rPr>
        <w:t>为导向，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强化数字赋能，</w:t>
      </w:r>
      <w:r>
        <w:rPr>
          <w:rFonts w:hint="eastAsia" w:cs="仿宋_GB2312"/>
          <w:color w:val="auto"/>
          <w:sz w:val="32"/>
          <w:szCs w:val="32"/>
          <w:lang w:eastAsia="zh-CN"/>
        </w:rPr>
        <w:t>依托新平台完成线上线下政府信息公开申请件的归集工作，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实现依申请公开事项全程跟踪和监督。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2025年，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政府层面收到政府信息公开申请</w:t>
      </w:r>
      <w:r>
        <w:rPr>
          <w:rFonts w:hint="default" w:ascii="Times New Roman" w:hAnsi="Times New Roman" w:eastAsia="仿宋_GB2312" w:cs="仿宋_GB2312"/>
          <w:color w:val="auto"/>
          <w:sz w:val="32"/>
          <w:szCs w:val="32"/>
          <w:lang w:val="en" w:eastAsia="zh-CN"/>
        </w:rPr>
        <w:t>共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4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件（其中上年结转2件），主要涉及国有土地上房屋征收与补偿、集体土地征收等内容，均已及时规范作出答复。</w:t>
      </w:r>
      <w:r>
        <w:rPr>
          <w:rFonts w:hint="eastAsia" w:cs="仿宋_GB2312"/>
          <w:color w:val="auto"/>
          <w:sz w:val="32"/>
          <w:szCs w:val="32"/>
          <w:lang w:eastAsia="zh-CN"/>
        </w:rPr>
        <w:t>全年无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因政府信息公开引发</w:t>
      </w:r>
      <w:r>
        <w:rPr>
          <w:rFonts w:hint="eastAsia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行政诉讼</w:t>
      </w:r>
      <w:r>
        <w:rPr>
          <w:rFonts w:hint="eastAsia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行政复议。</w:t>
      </w:r>
    </w:p>
    <w:p>
      <w:pPr>
        <w:numPr>
          <w:ilvl w:val="0"/>
          <w:numId w:val="0"/>
        </w:numPr>
        <w:ind w:firstLine="640" w:firstLineChars="200"/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highlight w:val="none"/>
          <w:lang w:val="en-US" w:eastAsia="zh-CN" w:bidi="ar-SA"/>
        </w:rPr>
        <w:t>（三）政府信息管理方面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遵循“应公开尽公开”原则，严格把控</w:t>
      </w:r>
      <w:r>
        <w:rPr>
          <w:rFonts w:hint="eastAsia" w:cs="仿宋_GB2312"/>
          <w:color w:val="auto"/>
          <w:sz w:val="32"/>
          <w:szCs w:val="32"/>
          <w:lang w:eastAsia="zh-CN"/>
        </w:rPr>
        <w:t>文件属性源头性认定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界限，</w:t>
      </w:r>
      <w:r>
        <w:rPr>
          <w:rFonts w:hint="eastAsia" w:cs="仿宋_GB2312"/>
          <w:color w:val="auto"/>
          <w:sz w:val="32"/>
          <w:szCs w:val="32"/>
          <w:lang w:eastAsia="zh-CN"/>
        </w:rPr>
        <w:t>加大对依申请公开和不予公开文件的审查力度；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明确“三审三校”工作制度</w:t>
      </w:r>
      <w:r>
        <w:rPr>
          <w:rFonts w:hint="eastAsia" w:cs="仿宋_GB2312"/>
          <w:color w:val="auto"/>
          <w:sz w:val="32"/>
          <w:szCs w:val="32"/>
          <w:lang w:eastAsia="zh-CN"/>
        </w:rPr>
        <w:t>适用范围，不断完善政府信息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初审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复审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>-</w:t>
      </w:r>
      <w:r>
        <w:rPr>
          <w:rFonts w:hint="eastAsia" w:cs="仿宋_GB2312"/>
          <w:color w:val="auto"/>
          <w:sz w:val="32"/>
          <w:szCs w:val="32"/>
          <w:lang w:eastAsia="zh-CN"/>
        </w:rPr>
        <w:t>终审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>-</w:t>
      </w:r>
      <w:r>
        <w:rPr>
          <w:rFonts w:hint="eastAsia" w:cs="仿宋_GB2312"/>
          <w:color w:val="auto"/>
          <w:sz w:val="32"/>
          <w:szCs w:val="32"/>
          <w:lang w:eastAsia="zh-CN"/>
        </w:rPr>
        <w:t>发布全生命周期管理，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提高政府信息公开工作规范化水平</w:t>
      </w:r>
      <w:r>
        <w:rPr>
          <w:rFonts w:hint="eastAsia" w:cs="仿宋_GB2312"/>
          <w:color w:val="auto"/>
          <w:sz w:val="32"/>
          <w:szCs w:val="32"/>
          <w:lang w:eastAsia="zh-CN"/>
        </w:rPr>
        <w:t>。完成规范性文件系统梳理，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实现现行有效文件与历次修订文本的历史沿革</w:t>
      </w:r>
      <w:r>
        <w:rPr>
          <w:rFonts w:hint="eastAsia" w:cs="仿宋_GB2312"/>
          <w:color w:val="auto"/>
          <w:sz w:val="32"/>
          <w:szCs w:val="32"/>
          <w:lang w:eastAsia="zh-CN"/>
        </w:rPr>
        <w:t>汇总，同步推送至省政策文件库归集展示。</w:t>
      </w:r>
    </w:p>
    <w:p>
      <w:pPr>
        <w:numPr>
          <w:ilvl w:val="0"/>
          <w:numId w:val="0"/>
        </w:numPr>
        <w:ind w:firstLine="640" w:firstLineChars="200"/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highlight w:val="none"/>
          <w:lang w:val="en-US" w:eastAsia="zh-CN" w:bidi="ar-SA"/>
        </w:rPr>
        <w:t>（四）政府信息公开平台建设方面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逐项梳理</w:t>
      </w:r>
      <w:r>
        <w:rPr>
          <w:rFonts w:hint="eastAsia" w:cs="仿宋_GB2312"/>
          <w:color w:val="auto"/>
          <w:sz w:val="32"/>
          <w:szCs w:val="32"/>
          <w:lang w:eastAsia="zh-CN"/>
        </w:rPr>
        <w:t>政府网站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各级栏目共600余个</w:t>
      </w:r>
      <w:r>
        <w:rPr>
          <w:rFonts w:hint="eastAsia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优化调整栏目1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60余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个</w:t>
      </w:r>
      <w:r>
        <w:rPr>
          <w:rFonts w:hint="eastAsia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确保各栏目内容完整、外链有效、名称准确、逻辑清晰，</w:t>
      </w:r>
      <w:r>
        <w:rPr>
          <w:rFonts w:hint="eastAsia" w:cs="仿宋_GB2312"/>
          <w:color w:val="auto"/>
          <w:sz w:val="32"/>
          <w:szCs w:val="32"/>
          <w:lang w:eastAsia="zh-CN"/>
        </w:rPr>
        <w:t>不断优化网站布局，提升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公众精准</w:t>
      </w:r>
      <w:r>
        <w:rPr>
          <w:rFonts w:hint="eastAsia" w:cs="仿宋_GB2312"/>
          <w:color w:val="auto"/>
          <w:sz w:val="32"/>
          <w:szCs w:val="32"/>
          <w:lang w:eastAsia="zh-CN"/>
        </w:rPr>
        <w:t>查找信息便捷性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。按照上级部署开展政府公报数字化转型</w:t>
      </w:r>
      <w:r>
        <w:rPr>
          <w:rFonts w:hint="eastAsia" w:cs="仿宋_GB2312"/>
          <w:color w:val="auto"/>
          <w:sz w:val="32"/>
          <w:szCs w:val="32"/>
          <w:lang w:eastAsia="zh-CN"/>
        </w:rPr>
        <w:t>，完成政府公报内容筛选、排版、校稿全流程工作，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2025年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编发《张店区人民政府公报》电子版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期，并及时在政府公报栏目向社会公开发布。</w:t>
      </w:r>
    </w:p>
    <w:p>
      <w:pPr>
        <w:numPr>
          <w:ilvl w:val="0"/>
          <w:numId w:val="0"/>
        </w:numPr>
        <w:ind w:firstLine="640" w:firstLineChars="200"/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highlight w:val="none"/>
          <w:lang w:val="en-US" w:eastAsia="zh-CN" w:bidi="ar-SA"/>
        </w:rPr>
        <w:t>（五）监督保障方面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cs="仿宋_GB2312"/>
          <w:color w:val="auto"/>
          <w:sz w:val="32"/>
          <w:szCs w:val="32"/>
          <w:lang w:val="en-US" w:eastAsia="zh-CN"/>
        </w:rPr>
      </w:pPr>
      <w:r>
        <w:rPr>
          <w:rFonts w:hint="eastAsia" w:cs="仿宋_GB2312"/>
          <w:color w:val="auto"/>
          <w:sz w:val="32"/>
          <w:szCs w:val="32"/>
          <w:lang w:val="en-US" w:eastAsia="zh-CN"/>
        </w:rPr>
        <w:t>为保障政府信息公开工作有序、高效开展，本机关在已建立的工作体系基础上，持续推动其向纵深完善，确保权责划分清晰，责任链条明确，工作运转协调。开展专项培训，内容涵盖政策解读、依申请公开办理规范、平台操作、新媒体日常运维管理等多个方面，注重培训实效，为持续提升政府信息公开工作质量提供专业人才保障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二、主动公开政府信息情况</w:t>
      </w:r>
    </w:p>
    <w:tbl>
      <w:tblPr>
        <w:tblStyle w:val="10"/>
        <w:tblW w:w="97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45"/>
        <w:gridCol w:w="2445"/>
        <w:gridCol w:w="24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978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等线" w:hAnsi="等线" w:eastAsia="等线" w:cs="Times New Roman"/>
                <w:color w:val="auto"/>
                <w:sz w:val="21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等线" w:hAnsi="等线" w:eastAsia="等线" w:cs="Times New Roman"/>
                <w:color w:val="auto"/>
                <w:sz w:val="21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等线" w:hAnsi="等线" w:eastAsia="等线" w:cs="Times New Roman"/>
                <w:color w:val="auto"/>
                <w:sz w:val="21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等线" w:hAnsi="等线" w:eastAsia="等线" w:cs="Times New Roman"/>
                <w:color w:val="auto"/>
                <w:sz w:val="21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978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978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3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等线" w:hAnsi="等线" w:eastAsia="等线" w:cs="Times New Roman"/>
                <w:color w:val="auto"/>
                <w:sz w:val="21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等线" w:hAnsi="等线" w:eastAsia="等线" w:cs="Times New Roman"/>
                <w:color w:val="auto"/>
                <w:sz w:val="21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978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三、收到和处理政府信息公开申请情况</w:t>
      </w:r>
    </w:p>
    <w:tbl>
      <w:tblPr>
        <w:tblStyle w:val="10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41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both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both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both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宋体" w:hAnsi="等线" w:eastAsia="等线" w:cs="Times New Roman"/>
                <w:color w:val="auto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41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rFonts w:ascii="等线" w:hAnsi="等线" w:eastAsia="等线" w:cs="Times New Roman"/>
                <w:color w:val="auto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等线" w:eastAsia="等线" w:cs="Times New Roman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仿宋_GB2312" w:hAnsi="Calibri" w:eastAsia="仿宋_GB2312" w:cs="Times New Roman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四、政府信息公开行政复议、行政诉讼情况</w:t>
      </w:r>
    </w:p>
    <w:tbl>
      <w:tblPr>
        <w:tblStyle w:val="10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黑体" w:eastAsia="黑体" w:cs="Times New Roman"/>
                <w:color w:val="auto"/>
                <w:sz w:val="21"/>
                <w:szCs w:val="22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黑体" w:eastAsia="黑体" w:cs="Times New Roman"/>
                <w:color w:val="auto"/>
                <w:sz w:val="21"/>
                <w:szCs w:val="22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left="-227" w:leftChars="-71" w:right="-259" w:rightChars="-81" w:firstLine="0" w:firstLineChars="0"/>
              <w:jc w:val="center"/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spacing w:line="240" w:lineRule="auto"/>
              <w:ind w:left="-227" w:leftChars="-71" w:right="-259" w:rightChars="-81" w:firstLine="0" w:firstLineChars="0"/>
              <w:jc w:val="center"/>
              <w:rPr>
                <w:rFonts w:ascii="黑体" w:hAnsi="黑体" w:eastAsia="黑体" w:cs="Times New Roman"/>
                <w:color w:val="auto"/>
                <w:sz w:val="21"/>
                <w:szCs w:val="22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left="-66" w:leftChars="-21" w:right="-202" w:rightChars="-63" w:hanging="1" w:firstLineChars="0"/>
              <w:jc w:val="center"/>
              <w:rPr>
                <w:rFonts w:ascii="黑体" w:hAnsi="黑体" w:eastAsia="黑体" w:cs="Times New Roman"/>
                <w:color w:val="auto"/>
                <w:sz w:val="21"/>
                <w:szCs w:val="22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left="-125" w:leftChars="-39" w:right="-147" w:rightChars="-46" w:firstLine="0" w:firstLineChars="0"/>
              <w:jc w:val="center"/>
              <w:rPr>
                <w:rFonts w:ascii="黑体" w:hAnsi="黑体" w:eastAsia="黑体" w:cs="Times New Roman"/>
                <w:color w:val="auto"/>
                <w:sz w:val="21"/>
                <w:szCs w:val="22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left="-179" w:leftChars="-56" w:right="-179" w:rightChars="-56" w:firstLine="0" w:firstLineChars="0"/>
              <w:jc w:val="center"/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spacing w:line="240" w:lineRule="auto"/>
              <w:ind w:left="-179" w:leftChars="-56" w:right="-179" w:rightChars="-56" w:firstLine="0" w:firstLineChars="0"/>
              <w:jc w:val="center"/>
              <w:rPr>
                <w:rFonts w:ascii="黑体" w:hAnsi="黑体" w:eastAsia="黑体" w:cs="Times New Roman"/>
                <w:color w:val="auto"/>
                <w:sz w:val="21"/>
                <w:szCs w:val="22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总</w:t>
            </w:r>
          </w:p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黑体" w:hAnsi="黑体" w:eastAsia="黑体" w:cs="Times New Roman"/>
                <w:color w:val="auto"/>
                <w:sz w:val="21"/>
                <w:szCs w:val="22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黑体" w:eastAsia="黑体" w:cs="Times New Roman"/>
                <w:color w:val="auto"/>
                <w:sz w:val="21"/>
                <w:szCs w:val="22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黑体" w:eastAsia="黑体" w:cs="Times New Roman"/>
                <w:color w:val="auto"/>
                <w:sz w:val="21"/>
                <w:szCs w:val="22"/>
              </w:rPr>
            </w:pPr>
            <w:bookmarkStart w:id="0" w:name="_Hlk67039688"/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复议后起诉</w:t>
            </w:r>
            <w:bookmarkEnd w:id="0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ascii="黑体" w:hAnsi="黑体" w:eastAsia="黑体" w:cs="Times New Roman"/>
                <w:color w:val="auto"/>
                <w:sz w:val="24"/>
                <w:szCs w:val="22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ascii="黑体" w:hAnsi="黑体" w:eastAsia="黑体" w:cs="Times New Roman"/>
                <w:color w:val="auto"/>
                <w:sz w:val="24"/>
                <w:szCs w:val="2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ascii="黑体" w:hAnsi="黑体" w:eastAsia="黑体" w:cs="Times New Roman"/>
                <w:color w:val="auto"/>
                <w:sz w:val="24"/>
                <w:szCs w:val="2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ascii="黑体" w:hAnsi="黑体" w:eastAsia="黑体" w:cs="Times New Roman"/>
                <w:color w:val="auto"/>
                <w:sz w:val="24"/>
                <w:szCs w:val="22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ascii="黑体" w:hAnsi="黑体" w:eastAsia="黑体" w:cs="Times New Roman"/>
                <w:color w:val="auto"/>
                <w:sz w:val="24"/>
                <w:szCs w:val="22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left="-160" w:leftChars="-50" w:right="-192" w:rightChars="-60" w:firstLine="0" w:firstLineChars="0"/>
              <w:jc w:val="center"/>
              <w:rPr>
                <w:rFonts w:ascii="黑体" w:hAnsi="黑体" w:eastAsia="黑体" w:cs="Times New Roman"/>
                <w:color w:val="auto"/>
                <w:sz w:val="21"/>
                <w:szCs w:val="22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left="-131" w:leftChars="-41" w:right="-134" w:rightChars="-42" w:firstLine="0" w:firstLineChars="0"/>
              <w:jc w:val="center"/>
              <w:rPr>
                <w:rFonts w:ascii="黑体" w:hAnsi="黑体" w:eastAsia="黑体" w:cs="Times New Roman"/>
                <w:color w:val="auto"/>
                <w:sz w:val="21"/>
                <w:szCs w:val="22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left="-192" w:leftChars="-60" w:right="-208" w:rightChars="-65" w:firstLine="0" w:firstLineChars="0"/>
              <w:jc w:val="center"/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spacing w:line="240" w:lineRule="auto"/>
              <w:ind w:left="-192" w:leftChars="-60" w:right="-208" w:rightChars="-65" w:firstLine="0" w:firstLineChars="0"/>
              <w:jc w:val="center"/>
              <w:rPr>
                <w:rFonts w:ascii="黑体" w:hAnsi="黑体" w:eastAsia="黑体" w:cs="Times New Roman"/>
                <w:color w:val="auto"/>
                <w:sz w:val="21"/>
                <w:szCs w:val="22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left="-249" w:leftChars="-78" w:right="-234" w:rightChars="-73" w:firstLine="0" w:firstLineChars="0"/>
              <w:jc w:val="center"/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spacing w:line="240" w:lineRule="auto"/>
              <w:ind w:left="-249" w:leftChars="-78" w:right="-234" w:rightChars="-73" w:firstLine="0" w:firstLineChars="0"/>
              <w:jc w:val="center"/>
              <w:rPr>
                <w:rFonts w:ascii="黑体" w:hAnsi="黑体" w:eastAsia="黑体" w:cs="Times New Roman"/>
                <w:color w:val="auto"/>
                <w:sz w:val="21"/>
                <w:szCs w:val="22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黑体" w:eastAsia="黑体" w:cs="Times New Roman"/>
                <w:color w:val="auto"/>
                <w:sz w:val="21"/>
                <w:szCs w:val="22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left="-150" w:leftChars="-47" w:right="-118" w:rightChars="-37" w:firstLine="0" w:firstLineChars="0"/>
              <w:jc w:val="center"/>
              <w:rPr>
                <w:rFonts w:ascii="黑体" w:hAnsi="黑体" w:eastAsia="黑体" w:cs="Times New Roman"/>
                <w:color w:val="auto"/>
                <w:sz w:val="21"/>
                <w:szCs w:val="22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left="-208" w:leftChars="-65" w:right="-189" w:rightChars="-59" w:firstLine="0" w:firstLineChars="0"/>
              <w:jc w:val="center"/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spacing w:line="240" w:lineRule="auto"/>
              <w:ind w:left="-208" w:leftChars="-65" w:right="-189" w:rightChars="-59" w:firstLine="0" w:firstLineChars="0"/>
              <w:jc w:val="center"/>
              <w:rPr>
                <w:rFonts w:ascii="黑体" w:hAnsi="黑体" w:eastAsia="黑体" w:cs="Times New Roman"/>
                <w:color w:val="auto"/>
                <w:sz w:val="21"/>
                <w:szCs w:val="22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left="-265" w:leftChars="-83" w:right="-205" w:rightChars="-64" w:hanging="1" w:firstLineChars="0"/>
              <w:jc w:val="center"/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spacing w:line="240" w:lineRule="auto"/>
              <w:ind w:left="-265" w:leftChars="-83" w:right="-205" w:rightChars="-64" w:hanging="1" w:firstLineChars="0"/>
              <w:jc w:val="center"/>
              <w:rPr>
                <w:rFonts w:ascii="黑体" w:hAnsi="黑体" w:eastAsia="黑体" w:cs="Times New Roman"/>
                <w:color w:val="auto"/>
                <w:sz w:val="21"/>
                <w:szCs w:val="22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left="-104" w:leftChars="-33" w:right="-160" w:rightChars="-50" w:hanging="2" w:hangingChars="1"/>
              <w:jc w:val="center"/>
              <w:rPr>
                <w:rFonts w:ascii="黑体" w:hAnsi="黑体" w:eastAsia="黑体" w:cs="Times New Roman"/>
                <w:color w:val="auto"/>
                <w:sz w:val="21"/>
                <w:szCs w:val="22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黑体" w:eastAsia="黑体" w:cs="Times New Roman"/>
                <w:color w:val="auto"/>
                <w:sz w:val="21"/>
                <w:szCs w:val="22"/>
              </w:rPr>
            </w:pPr>
            <w:r>
              <w:rPr>
                <w:rFonts w:ascii="黑体" w:hAnsi="黑体" w:eastAsia="黑体" w:cs="Times New Roman"/>
                <w:color w:val="auto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szCs w:val="22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szCs w:val="22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szCs w:val="22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szCs w:val="22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szCs w:val="22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szCs w:val="2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szCs w:val="2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szCs w:val="2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szCs w:val="2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szCs w:val="2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40" w:lineRule="auto"/>
              <w:ind w:firstLine="0" w:firstLineChars="0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szCs w:val="2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szCs w:val="2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szCs w:val="22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szCs w:val="22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szCs w:val="22"/>
                <w:lang w:val="en-US" w:eastAsia="zh-CN"/>
              </w:rPr>
              <w:t>0</w:t>
            </w:r>
          </w:p>
        </w:tc>
      </w:tr>
    </w:tbl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五、存在的主要问题及改进情况</w:t>
      </w:r>
    </w:p>
    <w:p>
      <w:pPr>
        <w:numPr>
          <w:ilvl w:val="0"/>
          <w:numId w:val="0"/>
        </w:numPr>
        <w:ind w:firstLine="640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2025年，本机关政务公开工作存在的问题主要表现为：一是落实“三审三校”制度有待进一步强化；二是部分栏目政府信息公开及时性有待进一步加强。</w:t>
      </w:r>
    </w:p>
    <w:p>
      <w:pPr>
        <w:numPr>
          <w:ilvl w:val="0"/>
          <w:numId w:val="0"/>
        </w:numPr>
        <w:ind w:firstLine="640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针对上述问题，2025年采取积极有效的举措进行整改提升：一是明确“三审三校”工作机制适用</w:t>
      </w:r>
      <w:bookmarkStart w:id="1" w:name="_GoBack"/>
      <w:bookmarkEnd w:id="1"/>
      <w:r>
        <w:rPr>
          <w:rFonts w:hint="eastAsia"/>
          <w:color w:val="auto"/>
          <w:lang w:val="en-US" w:eastAsia="zh-CN"/>
        </w:rPr>
        <w:t>范围，将初审、再审、终审、发布流程内化至日常工作中，不定期检查各部门、单位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《政府网站、政务新媒体信息内容审核表》</w:t>
      </w:r>
      <w:r>
        <w:rPr>
          <w:rFonts w:hint="eastAsia" w:cs="仿宋_GB2312"/>
          <w:color w:val="auto"/>
          <w:sz w:val="32"/>
          <w:szCs w:val="32"/>
          <w:lang w:eastAsia="zh-CN"/>
        </w:rPr>
        <w:t>，切实保证“三审三校”制度落实</w:t>
      </w:r>
      <w:r>
        <w:rPr>
          <w:rFonts w:hint="eastAsia"/>
          <w:color w:val="auto"/>
          <w:lang w:val="en-US" w:eastAsia="zh-CN"/>
        </w:rPr>
        <w:t>。二是在政府网站栏目台账中标注各栏目更新时限和频率，对于未及时更新的财政、社会救助等信息督促整改，满足社会公众需求，提升信息公开工作水平和实效。</w:t>
      </w:r>
    </w:p>
    <w:p>
      <w:pPr>
        <w:numPr>
          <w:ilvl w:val="0"/>
          <w:numId w:val="0"/>
        </w:numPr>
        <w:ind w:firstLine="640"/>
        <w:rPr>
          <w:rFonts w:hint="eastAsia" w:ascii="黑体" w:hAnsi="黑体" w:eastAsia="黑体" w:cs="黑体"/>
          <w:color w:val="auto"/>
          <w:lang w:val="en-US" w:eastAsia="zh-CN"/>
        </w:rPr>
      </w:pPr>
      <w:r>
        <w:rPr>
          <w:rFonts w:hint="eastAsia" w:ascii="黑体" w:hAnsi="黑体" w:eastAsia="黑体" w:cs="黑体"/>
          <w:color w:val="auto"/>
          <w:lang w:val="en-US" w:eastAsia="zh-CN"/>
        </w:rPr>
        <w:t>六、其他需要报告的事项</w:t>
      </w:r>
    </w:p>
    <w:p>
      <w:pPr>
        <w:pStyle w:val="4"/>
        <w:rPr>
          <w:rFonts w:hint="default"/>
          <w:color w:val="auto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lang w:val="en-US" w:eastAsia="zh-CN"/>
        </w:rPr>
        <w:t>（一）依据《政府信息公开信息处理费管理办法》收取信息处理费的情况</w:t>
      </w:r>
    </w:p>
    <w:p>
      <w:pPr>
        <w:pStyle w:val="4"/>
        <w:rPr>
          <w:rFonts w:hint="default"/>
          <w:color w:val="auto"/>
          <w:lang w:val="en-US" w:eastAsia="zh-CN"/>
        </w:rPr>
      </w:pPr>
      <w:r>
        <w:rPr>
          <w:rFonts w:hint="default"/>
          <w:color w:val="auto"/>
          <w:lang w:val="en-US" w:eastAsia="zh-CN"/>
        </w:rPr>
        <w:t>202</w:t>
      </w:r>
      <w:r>
        <w:rPr>
          <w:rFonts w:hint="eastAsia"/>
          <w:color w:val="auto"/>
          <w:lang w:val="en-US" w:eastAsia="zh-CN"/>
        </w:rPr>
        <w:t>5</w:t>
      </w:r>
      <w:r>
        <w:rPr>
          <w:rFonts w:hint="default"/>
          <w:color w:val="auto"/>
          <w:lang w:val="en-US" w:eastAsia="zh-CN"/>
        </w:rPr>
        <w:t>年度，我机关在办理以及代区政府办理政府信息公开申请过程中，未收取任何信息处理费。</w:t>
      </w:r>
    </w:p>
    <w:p>
      <w:pPr>
        <w:pStyle w:val="4"/>
        <w:numPr>
          <w:ilvl w:val="0"/>
          <w:numId w:val="0"/>
        </w:numPr>
        <w:ind w:firstLine="640" w:firstLineChars="200"/>
        <w:rPr>
          <w:rFonts w:hint="eastAsia" w:ascii="楷体_GB2312" w:hAnsi="楷体_GB2312" w:eastAsia="楷体_GB2312" w:cs="楷体_GB2312"/>
          <w:color w:val="auto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24"/>
          <w:lang w:val="en-US" w:eastAsia="zh-CN" w:bidi="ar-SA"/>
        </w:rPr>
        <w:t>（二）</w:t>
      </w:r>
      <w:r>
        <w:rPr>
          <w:rFonts w:hint="eastAsia" w:ascii="楷体_GB2312" w:hAnsi="楷体_GB2312" w:eastAsia="楷体_GB2312" w:cs="楷体_GB2312"/>
          <w:color w:val="auto"/>
          <w:highlight w:val="none"/>
          <w:lang w:val="en-US" w:eastAsia="zh-CN"/>
        </w:rPr>
        <w:t>本年度人大代表建议和政协提案办理情况</w:t>
      </w:r>
    </w:p>
    <w:p>
      <w:pPr>
        <w:numPr>
          <w:ilvl w:val="0"/>
          <w:numId w:val="0"/>
        </w:numPr>
        <w:ind w:firstLine="640" w:firstLineChars="2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 xml:space="preserve"> 2025年，本机关收到本级人大代表建议和政协委员提案、市级人大代表建议和政协委员提案均为0件。</w:t>
      </w:r>
      <w:r>
        <w:rPr>
          <w:rFonts w:hint="eastAsia"/>
          <w:color w:val="auto"/>
          <w:lang w:val="en-US" w:eastAsia="zh-CN"/>
        </w:rPr>
        <w:t xml:space="preserve">  </w:t>
      </w:r>
    </w:p>
    <w:p>
      <w:pPr>
        <w:pStyle w:val="4"/>
        <w:numPr>
          <w:ilvl w:val="0"/>
          <w:numId w:val="0"/>
        </w:numPr>
        <w:ind w:firstLine="640" w:firstLineChars="200"/>
        <w:rPr>
          <w:rFonts w:hint="eastAsia"/>
          <w:color w:val="auto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24"/>
          <w:lang w:val="en-US" w:eastAsia="zh-CN" w:bidi="ar-SA"/>
        </w:rPr>
        <w:t>（三）</w:t>
      </w:r>
      <w:r>
        <w:rPr>
          <w:rFonts w:hint="eastAsia" w:ascii="楷体_GB2312" w:hAnsi="楷体_GB2312" w:eastAsia="楷体_GB2312" w:cs="楷体_GB2312"/>
          <w:color w:val="auto"/>
          <w:lang w:val="en-US" w:eastAsia="zh-CN"/>
        </w:rPr>
        <w:t>本单位在政务公开制度、内容、形式和平台建设方面的创新实践情况</w:t>
      </w:r>
    </w:p>
    <w:p>
      <w:pPr>
        <w:numPr>
          <w:ilvl w:val="0"/>
          <w:numId w:val="0"/>
        </w:numPr>
        <w:ind w:firstLine="64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2025年，为提升解读质量，制作文稿解读、领导干部解读、专家解读模板，详细列明注意事项，促使全区解读制作向规范化、实用性靠拢。为丰富解读形式，提高拟稿单位对于制作图文解读的积极性，创新图文解读制作方法，降低图文解读制作难度，以政务公开工作人员和拟稿科室人员即可操作的方式，制作与政策文件最相契合的图文解读，对政策文件制发意图、重要举措、工作方法进行真实有效的反映。</w:t>
      </w:r>
    </w:p>
    <w:p>
      <w:pPr>
        <w:rPr>
          <w:rFonts w:hint="eastAsia" w:ascii="楷体_GB2312" w:hAnsi="楷体_GB2312" w:eastAsia="楷体_GB2312" w:cs="楷体_GB2312"/>
          <w:color w:val="auto"/>
          <w:lang w:val="en-US" w:eastAsia="zh-CN"/>
        </w:rPr>
      </w:pPr>
      <w:r>
        <w:rPr>
          <w:rFonts w:hint="eastAsia" w:ascii="Times New Roman" w:hAnsi="Times New Roman" w:eastAsia="楷体_GB2312" w:cs="楷体_GB2312"/>
          <w:color w:val="auto"/>
          <w:sz w:val="32"/>
          <w:lang w:val="en-US" w:eastAsia="zh-CN"/>
        </w:rPr>
        <w:t>（四）《淄博市贯彻</w:t>
      </w:r>
      <w:r>
        <w:rPr>
          <w:rFonts w:hint="eastAsia" w:eastAsia="楷体_GB2312" w:cs="楷体_GB2312"/>
          <w:color w:val="auto"/>
          <w:sz w:val="32"/>
          <w:lang w:val="en-US" w:eastAsia="zh-CN"/>
        </w:rPr>
        <w:t>落实〈</w:t>
      </w:r>
      <w:r>
        <w:rPr>
          <w:rFonts w:hint="eastAsia" w:ascii="Times New Roman" w:hAnsi="Times New Roman" w:eastAsia="楷体_GB2312" w:cs="楷体_GB2312"/>
          <w:color w:val="auto"/>
          <w:sz w:val="32"/>
          <w:lang w:val="en-US" w:eastAsia="zh-CN"/>
        </w:rPr>
        <w:t>2025年山东省政务公开工作要点</w:t>
      </w:r>
      <w:r>
        <w:rPr>
          <w:rFonts w:hint="eastAsia" w:eastAsia="楷体_GB2312" w:cs="楷体_GB2312"/>
          <w:color w:val="auto"/>
          <w:sz w:val="32"/>
          <w:lang w:val="en-US" w:eastAsia="zh-CN"/>
        </w:rPr>
        <w:t>〉</w:t>
      </w:r>
      <w:r>
        <w:rPr>
          <w:rFonts w:hint="eastAsia" w:ascii="Times New Roman" w:hAnsi="Times New Roman" w:eastAsia="楷体_GB2312" w:cs="楷体_GB2312"/>
          <w:color w:val="auto"/>
          <w:sz w:val="32"/>
          <w:lang w:val="en-US" w:eastAsia="zh-CN"/>
        </w:rPr>
        <w:t>实施方案》落实情况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根据省、市关于深化政务公开工作的部署安排，本机关制定并印发《2025年张店区政务公开工作要点分工方案》，聚焦四大领域15项公开任务，统筹全区公开工作，逐步推动各项要点“落地见效”。以标准化建设为抓手，推动政务公开提质增效。动态更新主动公开事项目录，明确公开范围与责任主体；规范依申请公开全流程，指导全区部门完成存量历史件全面录入，实现全流程可追溯、全环节可监管。深化政民互动，提升政府透明度与公信力。搭建常态化政企政民沟通桥梁，全年指导全区开展政府开放日活动20余场，覆盖社区、企业、学校、医院等多元场景，通过现场体验、座谈交流等形式，让群众直观了解政府运作、参与决策过程，有效拉近政民距离，推动政府透明度与公信力双提升。</w:t>
      </w:r>
    </w:p>
    <w:p>
      <w:pPr>
        <w:rPr>
          <w:rFonts w:hint="eastAsia" w:ascii="Times New Roman" w:hAnsi="Times New Roman" w:eastAsia="楷体_GB2312" w:cs="楷体_GB2312"/>
          <w:color w:val="auto"/>
          <w:sz w:val="32"/>
          <w:lang w:val="en-US" w:eastAsia="zh-CN"/>
        </w:rPr>
      </w:pPr>
      <w:r>
        <w:rPr>
          <w:rFonts w:hint="eastAsia" w:ascii="Times New Roman" w:hAnsi="Times New Roman" w:eastAsia="楷体_GB2312" w:cs="楷体_GB2312"/>
          <w:color w:val="auto"/>
          <w:sz w:val="32"/>
          <w:lang w:val="en-US" w:eastAsia="zh-CN"/>
        </w:rPr>
        <w:t>（五）本机关认为需要报告的其他事项</w:t>
      </w:r>
    </w:p>
    <w:p>
      <w:pPr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无。</w:t>
      </w:r>
    </w:p>
    <w:sectPr>
      <w:footerReference r:id="rId5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43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left" w:pos="1439"/>
        <w:tab w:val="clear" w:pos="4153"/>
      </w:tabs>
      <w:rPr>
        <w:rFonts w:hint="eastAsia" w:eastAsia="仿宋_GB2312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2ZGI4MGY0ZjgwNzk0YmNhNTNkN2E0NTRhYTAwMjMifQ=="/>
  </w:docVars>
  <w:rsids>
    <w:rsidRoot w:val="135C60EE"/>
    <w:rsid w:val="008B5779"/>
    <w:rsid w:val="00C528D4"/>
    <w:rsid w:val="00F44F67"/>
    <w:rsid w:val="01C81F50"/>
    <w:rsid w:val="01E90844"/>
    <w:rsid w:val="02591A57"/>
    <w:rsid w:val="031E451D"/>
    <w:rsid w:val="0341020B"/>
    <w:rsid w:val="03C52BEB"/>
    <w:rsid w:val="04082AD7"/>
    <w:rsid w:val="04341160"/>
    <w:rsid w:val="04DB77CA"/>
    <w:rsid w:val="04DF1A8A"/>
    <w:rsid w:val="04ED5CD5"/>
    <w:rsid w:val="052120A3"/>
    <w:rsid w:val="059C5BCD"/>
    <w:rsid w:val="06840B3B"/>
    <w:rsid w:val="07B216D8"/>
    <w:rsid w:val="0825634E"/>
    <w:rsid w:val="084E1401"/>
    <w:rsid w:val="08BB45BC"/>
    <w:rsid w:val="08FD6983"/>
    <w:rsid w:val="09A92667"/>
    <w:rsid w:val="09B1365A"/>
    <w:rsid w:val="09F2400E"/>
    <w:rsid w:val="0B154457"/>
    <w:rsid w:val="0B1A1A6E"/>
    <w:rsid w:val="0B907F82"/>
    <w:rsid w:val="0B9A2BAF"/>
    <w:rsid w:val="0BB2089B"/>
    <w:rsid w:val="0BBD7727"/>
    <w:rsid w:val="0C272694"/>
    <w:rsid w:val="0CE00A95"/>
    <w:rsid w:val="0CF32576"/>
    <w:rsid w:val="0DD73C46"/>
    <w:rsid w:val="0E0D58BA"/>
    <w:rsid w:val="0E1B7FD7"/>
    <w:rsid w:val="0E3A41D5"/>
    <w:rsid w:val="0E765A97"/>
    <w:rsid w:val="0EE54141"/>
    <w:rsid w:val="0F3B4AA4"/>
    <w:rsid w:val="0F760C96"/>
    <w:rsid w:val="10D73F5D"/>
    <w:rsid w:val="11252B5A"/>
    <w:rsid w:val="11CE710E"/>
    <w:rsid w:val="129545B6"/>
    <w:rsid w:val="12AA36D7"/>
    <w:rsid w:val="12CA3D79"/>
    <w:rsid w:val="12E23E98"/>
    <w:rsid w:val="13250101"/>
    <w:rsid w:val="135C60EE"/>
    <w:rsid w:val="139652A4"/>
    <w:rsid w:val="139FD67D"/>
    <w:rsid w:val="14634486"/>
    <w:rsid w:val="14BC5944"/>
    <w:rsid w:val="154A73F4"/>
    <w:rsid w:val="15512530"/>
    <w:rsid w:val="15B36D47"/>
    <w:rsid w:val="15EC4007"/>
    <w:rsid w:val="160D2C78"/>
    <w:rsid w:val="16707CBC"/>
    <w:rsid w:val="16D276A1"/>
    <w:rsid w:val="179F0317"/>
    <w:rsid w:val="17FDB1AE"/>
    <w:rsid w:val="1A604FC3"/>
    <w:rsid w:val="1A8F3FBF"/>
    <w:rsid w:val="1AC60B16"/>
    <w:rsid w:val="1AD734D7"/>
    <w:rsid w:val="1B3D6D31"/>
    <w:rsid w:val="1BC577D4"/>
    <w:rsid w:val="1BE35EAC"/>
    <w:rsid w:val="1C5841A4"/>
    <w:rsid w:val="1D012A8E"/>
    <w:rsid w:val="1DB45D52"/>
    <w:rsid w:val="1DB95116"/>
    <w:rsid w:val="1DCC309C"/>
    <w:rsid w:val="1E2D1660"/>
    <w:rsid w:val="1ED32208"/>
    <w:rsid w:val="1EFF1A90"/>
    <w:rsid w:val="1F1E594E"/>
    <w:rsid w:val="2031368A"/>
    <w:rsid w:val="20B80137"/>
    <w:rsid w:val="21221225"/>
    <w:rsid w:val="217B6657"/>
    <w:rsid w:val="21AC2C6B"/>
    <w:rsid w:val="222334A6"/>
    <w:rsid w:val="22B20386"/>
    <w:rsid w:val="22F64717"/>
    <w:rsid w:val="234436D4"/>
    <w:rsid w:val="237B69CA"/>
    <w:rsid w:val="243C084F"/>
    <w:rsid w:val="250A6257"/>
    <w:rsid w:val="26BA14C9"/>
    <w:rsid w:val="273C2507"/>
    <w:rsid w:val="277976C4"/>
    <w:rsid w:val="281D62A2"/>
    <w:rsid w:val="285919D0"/>
    <w:rsid w:val="28FD67FF"/>
    <w:rsid w:val="29015BC3"/>
    <w:rsid w:val="29581C87"/>
    <w:rsid w:val="2A353D77"/>
    <w:rsid w:val="2B4A56D6"/>
    <w:rsid w:val="2BA74800"/>
    <w:rsid w:val="2BDD0222"/>
    <w:rsid w:val="2BE912BD"/>
    <w:rsid w:val="2BEC4909"/>
    <w:rsid w:val="2BF33EE9"/>
    <w:rsid w:val="2C7C77B8"/>
    <w:rsid w:val="2CCD3F5D"/>
    <w:rsid w:val="2CFA66A7"/>
    <w:rsid w:val="2D8748E9"/>
    <w:rsid w:val="2DB61AF8"/>
    <w:rsid w:val="2DDE64D3"/>
    <w:rsid w:val="2DEA3563"/>
    <w:rsid w:val="2E3600BD"/>
    <w:rsid w:val="2E536EC1"/>
    <w:rsid w:val="2E9574DA"/>
    <w:rsid w:val="2EB21E3A"/>
    <w:rsid w:val="2F542EF1"/>
    <w:rsid w:val="2FD749BA"/>
    <w:rsid w:val="303E14AB"/>
    <w:rsid w:val="30751371"/>
    <w:rsid w:val="30A64E03"/>
    <w:rsid w:val="30BD4AC6"/>
    <w:rsid w:val="30D8545C"/>
    <w:rsid w:val="311C359A"/>
    <w:rsid w:val="325946B1"/>
    <w:rsid w:val="33D7AD34"/>
    <w:rsid w:val="35323D32"/>
    <w:rsid w:val="3550415A"/>
    <w:rsid w:val="361231BE"/>
    <w:rsid w:val="36162CAE"/>
    <w:rsid w:val="36491F1D"/>
    <w:rsid w:val="36D60AFB"/>
    <w:rsid w:val="36FB00F6"/>
    <w:rsid w:val="37645C9B"/>
    <w:rsid w:val="37C14E9C"/>
    <w:rsid w:val="37D56B99"/>
    <w:rsid w:val="37ED079B"/>
    <w:rsid w:val="37FB3688"/>
    <w:rsid w:val="39184F8F"/>
    <w:rsid w:val="391D4354"/>
    <w:rsid w:val="396B1455"/>
    <w:rsid w:val="39783C80"/>
    <w:rsid w:val="3A804B9A"/>
    <w:rsid w:val="3AD44EE6"/>
    <w:rsid w:val="3B765F9D"/>
    <w:rsid w:val="3BC114B3"/>
    <w:rsid w:val="3BF6E902"/>
    <w:rsid w:val="3C2D0D52"/>
    <w:rsid w:val="3C2F4ACA"/>
    <w:rsid w:val="3D7D7AB7"/>
    <w:rsid w:val="3DDC47DD"/>
    <w:rsid w:val="3DE11DF4"/>
    <w:rsid w:val="3EA37062"/>
    <w:rsid w:val="3F3D74FE"/>
    <w:rsid w:val="3F830C89"/>
    <w:rsid w:val="3FDFAF83"/>
    <w:rsid w:val="3FDFF8C6"/>
    <w:rsid w:val="4033445D"/>
    <w:rsid w:val="41F540C0"/>
    <w:rsid w:val="42530DE6"/>
    <w:rsid w:val="425741AF"/>
    <w:rsid w:val="427A45C5"/>
    <w:rsid w:val="427C033D"/>
    <w:rsid w:val="434A21E9"/>
    <w:rsid w:val="43770B04"/>
    <w:rsid w:val="439416B6"/>
    <w:rsid w:val="43D877F5"/>
    <w:rsid w:val="44823C05"/>
    <w:rsid w:val="455E1F7C"/>
    <w:rsid w:val="46454EEA"/>
    <w:rsid w:val="4839282C"/>
    <w:rsid w:val="488B752C"/>
    <w:rsid w:val="48CA7928"/>
    <w:rsid w:val="493F0316"/>
    <w:rsid w:val="49635DB3"/>
    <w:rsid w:val="49EF3AEA"/>
    <w:rsid w:val="4A396B13"/>
    <w:rsid w:val="4BD90B36"/>
    <w:rsid w:val="4BE8776E"/>
    <w:rsid w:val="4BFD93F0"/>
    <w:rsid w:val="4C7E73A7"/>
    <w:rsid w:val="4C912C37"/>
    <w:rsid w:val="4D1C4954"/>
    <w:rsid w:val="4D2455D6"/>
    <w:rsid w:val="4DAFD1E1"/>
    <w:rsid w:val="4DD23507"/>
    <w:rsid w:val="4DDA10BD"/>
    <w:rsid w:val="4DEE5E67"/>
    <w:rsid w:val="4E41068C"/>
    <w:rsid w:val="4EB62E28"/>
    <w:rsid w:val="4EDF237F"/>
    <w:rsid w:val="4EEC05F8"/>
    <w:rsid w:val="4F754BF1"/>
    <w:rsid w:val="4F950C90"/>
    <w:rsid w:val="4FC82E13"/>
    <w:rsid w:val="505C17AE"/>
    <w:rsid w:val="5167040A"/>
    <w:rsid w:val="51CB2747"/>
    <w:rsid w:val="526130AB"/>
    <w:rsid w:val="53591FD4"/>
    <w:rsid w:val="53A21BCD"/>
    <w:rsid w:val="53E126F6"/>
    <w:rsid w:val="542D593B"/>
    <w:rsid w:val="54617393"/>
    <w:rsid w:val="54624EB9"/>
    <w:rsid w:val="54C16FBB"/>
    <w:rsid w:val="5587EFD6"/>
    <w:rsid w:val="55AC6D33"/>
    <w:rsid w:val="563F226F"/>
    <w:rsid w:val="567E20D9"/>
    <w:rsid w:val="56B063AF"/>
    <w:rsid w:val="57C5FAEE"/>
    <w:rsid w:val="583E7370"/>
    <w:rsid w:val="593C03CE"/>
    <w:rsid w:val="597F3F68"/>
    <w:rsid w:val="598558D1"/>
    <w:rsid w:val="59B8059B"/>
    <w:rsid w:val="59FF1845"/>
    <w:rsid w:val="5A201A9E"/>
    <w:rsid w:val="5A3D43FE"/>
    <w:rsid w:val="5AED7BD2"/>
    <w:rsid w:val="5B484E08"/>
    <w:rsid w:val="5B6D486F"/>
    <w:rsid w:val="5B791466"/>
    <w:rsid w:val="5B932035"/>
    <w:rsid w:val="5BBD0B5C"/>
    <w:rsid w:val="5BC8419B"/>
    <w:rsid w:val="5C1473E0"/>
    <w:rsid w:val="5C910A31"/>
    <w:rsid w:val="5C936557"/>
    <w:rsid w:val="5CB32755"/>
    <w:rsid w:val="5CB85FBE"/>
    <w:rsid w:val="5CC47458"/>
    <w:rsid w:val="5D1E0517"/>
    <w:rsid w:val="5D303011"/>
    <w:rsid w:val="5D6B1282"/>
    <w:rsid w:val="5D7B19E0"/>
    <w:rsid w:val="5DD7F59C"/>
    <w:rsid w:val="5E457D25"/>
    <w:rsid w:val="5EFE1FC7"/>
    <w:rsid w:val="5F053010"/>
    <w:rsid w:val="5F0E0117"/>
    <w:rsid w:val="5F2C67EF"/>
    <w:rsid w:val="5F775CBC"/>
    <w:rsid w:val="600D6620"/>
    <w:rsid w:val="615269E1"/>
    <w:rsid w:val="61FD5BDC"/>
    <w:rsid w:val="62C27B96"/>
    <w:rsid w:val="62FF36AD"/>
    <w:rsid w:val="63B374DF"/>
    <w:rsid w:val="63C35974"/>
    <w:rsid w:val="64104931"/>
    <w:rsid w:val="642D54E3"/>
    <w:rsid w:val="64713622"/>
    <w:rsid w:val="654E5711"/>
    <w:rsid w:val="65F7A81D"/>
    <w:rsid w:val="65FBC865"/>
    <w:rsid w:val="663C7C5F"/>
    <w:rsid w:val="66739791"/>
    <w:rsid w:val="6716400D"/>
    <w:rsid w:val="674D37A6"/>
    <w:rsid w:val="67AC2BC3"/>
    <w:rsid w:val="67E15A2E"/>
    <w:rsid w:val="67FFFB3A"/>
    <w:rsid w:val="685F7C35"/>
    <w:rsid w:val="68CD1043"/>
    <w:rsid w:val="697414BE"/>
    <w:rsid w:val="69AC6EAA"/>
    <w:rsid w:val="69B1626F"/>
    <w:rsid w:val="6A682DD1"/>
    <w:rsid w:val="6A9C45A6"/>
    <w:rsid w:val="6AAB53B4"/>
    <w:rsid w:val="6AB029CA"/>
    <w:rsid w:val="6AE67A05"/>
    <w:rsid w:val="6B916358"/>
    <w:rsid w:val="6BA3608B"/>
    <w:rsid w:val="6BC874DC"/>
    <w:rsid w:val="6BEF307E"/>
    <w:rsid w:val="6C6D2921"/>
    <w:rsid w:val="6CFE5C6F"/>
    <w:rsid w:val="6DAF6F69"/>
    <w:rsid w:val="6DCA5B51"/>
    <w:rsid w:val="6EBA5BC5"/>
    <w:rsid w:val="6F13A042"/>
    <w:rsid w:val="6F524050"/>
    <w:rsid w:val="6F8F979D"/>
    <w:rsid w:val="6FEFD05E"/>
    <w:rsid w:val="706F4486"/>
    <w:rsid w:val="708B5A6B"/>
    <w:rsid w:val="70E1568B"/>
    <w:rsid w:val="712D08D1"/>
    <w:rsid w:val="717958C4"/>
    <w:rsid w:val="717DB4C4"/>
    <w:rsid w:val="71922E29"/>
    <w:rsid w:val="7372081D"/>
    <w:rsid w:val="74237D69"/>
    <w:rsid w:val="748C3B60"/>
    <w:rsid w:val="75032A72"/>
    <w:rsid w:val="750556C0"/>
    <w:rsid w:val="75497E6C"/>
    <w:rsid w:val="75C37A55"/>
    <w:rsid w:val="75FD37F2"/>
    <w:rsid w:val="76257DC8"/>
    <w:rsid w:val="76B845CE"/>
    <w:rsid w:val="77536BB7"/>
    <w:rsid w:val="77ED1019"/>
    <w:rsid w:val="77F0B9C7"/>
    <w:rsid w:val="77FBF65D"/>
    <w:rsid w:val="77FE6911"/>
    <w:rsid w:val="7803238B"/>
    <w:rsid w:val="782F13D2"/>
    <w:rsid w:val="783C3AEF"/>
    <w:rsid w:val="78BE178D"/>
    <w:rsid w:val="78DF4BA6"/>
    <w:rsid w:val="79A8143C"/>
    <w:rsid w:val="7A1A1C0E"/>
    <w:rsid w:val="7A33053A"/>
    <w:rsid w:val="7A3E58FC"/>
    <w:rsid w:val="7A831494"/>
    <w:rsid w:val="7AB61937"/>
    <w:rsid w:val="7AC2652D"/>
    <w:rsid w:val="7B164183"/>
    <w:rsid w:val="7B3EF587"/>
    <w:rsid w:val="7B626AA6"/>
    <w:rsid w:val="7BB938A7"/>
    <w:rsid w:val="7BD718E2"/>
    <w:rsid w:val="7BFB3D28"/>
    <w:rsid w:val="7C765821"/>
    <w:rsid w:val="7CA53A11"/>
    <w:rsid w:val="7CA81753"/>
    <w:rsid w:val="7CDF1886"/>
    <w:rsid w:val="7CFD3FE0"/>
    <w:rsid w:val="7DDF58D6"/>
    <w:rsid w:val="7DFA4D3A"/>
    <w:rsid w:val="7E385FCD"/>
    <w:rsid w:val="7E9FB360"/>
    <w:rsid w:val="7EA61CC2"/>
    <w:rsid w:val="7EC65EC0"/>
    <w:rsid w:val="7F4734A5"/>
    <w:rsid w:val="7F57FE24"/>
    <w:rsid w:val="7F5FBCD6"/>
    <w:rsid w:val="7F7D58EC"/>
    <w:rsid w:val="7F9F5393"/>
    <w:rsid w:val="7FADA0AC"/>
    <w:rsid w:val="7FBE8ADC"/>
    <w:rsid w:val="7FBF9AEE"/>
    <w:rsid w:val="7FEF0F0D"/>
    <w:rsid w:val="7FFDBD15"/>
    <w:rsid w:val="97CE266C"/>
    <w:rsid w:val="99EA4327"/>
    <w:rsid w:val="9A5EBCE1"/>
    <w:rsid w:val="9BCFCA48"/>
    <w:rsid w:val="9D4B5CFF"/>
    <w:rsid w:val="A2F957CC"/>
    <w:rsid w:val="ABAAC5F1"/>
    <w:rsid w:val="ADFDA457"/>
    <w:rsid w:val="B5BAEC28"/>
    <w:rsid w:val="B7DEB6CA"/>
    <w:rsid w:val="B7F7A322"/>
    <w:rsid w:val="BA7B23C6"/>
    <w:rsid w:val="BB7EFC9B"/>
    <w:rsid w:val="BBBDEC92"/>
    <w:rsid w:val="BBFF8D09"/>
    <w:rsid w:val="BE7F178B"/>
    <w:rsid w:val="BFFE69DF"/>
    <w:rsid w:val="D7F35A15"/>
    <w:rsid w:val="D7FFB8E2"/>
    <w:rsid w:val="D8EB1B98"/>
    <w:rsid w:val="DBED4D90"/>
    <w:rsid w:val="DEBF63D2"/>
    <w:rsid w:val="DEFF6ACB"/>
    <w:rsid w:val="DF6E2A0D"/>
    <w:rsid w:val="DFAD4E5C"/>
    <w:rsid w:val="DFB73411"/>
    <w:rsid w:val="DFF4AC01"/>
    <w:rsid w:val="E7FB7205"/>
    <w:rsid w:val="EE6FF62C"/>
    <w:rsid w:val="EFBF8D10"/>
    <w:rsid w:val="EFD9C5D1"/>
    <w:rsid w:val="EFDB7A14"/>
    <w:rsid w:val="EFDDA388"/>
    <w:rsid w:val="EFDF1052"/>
    <w:rsid w:val="EFFF1CA3"/>
    <w:rsid w:val="EFFF94E0"/>
    <w:rsid w:val="F2EB4587"/>
    <w:rsid w:val="F36F12EC"/>
    <w:rsid w:val="F3FF8EAF"/>
    <w:rsid w:val="F777AF5B"/>
    <w:rsid w:val="F77FCB98"/>
    <w:rsid w:val="F7C7A599"/>
    <w:rsid w:val="F8FFEACB"/>
    <w:rsid w:val="FA173172"/>
    <w:rsid w:val="FA3B30A4"/>
    <w:rsid w:val="FAFBEE11"/>
    <w:rsid w:val="FB6BCAC6"/>
    <w:rsid w:val="FBD31D71"/>
    <w:rsid w:val="FBFFC59A"/>
    <w:rsid w:val="FCF1BA6B"/>
    <w:rsid w:val="FCF586CF"/>
    <w:rsid w:val="FCF631D8"/>
    <w:rsid w:val="FD7A2973"/>
    <w:rsid w:val="FDFFA0AE"/>
    <w:rsid w:val="FE734873"/>
    <w:rsid w:val="FE7E3E2A"/>
    <w:rsid w:val="FE976A87"/>
    <w:rsid w:val="FEF182C9"/>
    <w:rsid w:val="FFB54A80"/>
    <w:rsid w:val="FFBB86D4"/>
    <w:rsid w:val="FFCD1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napToGrid/>
      <w:spacing w:beforeAutospacing="0" w:after="0" w:afterAutospacing="0" w:line="560" w:lineRule="exact"/>
      <w:ind w:firstLine="0" w:firstLineChars="0"/>
      <w:jc w:val="center"/>
      <w:outlineLvl w:val="0"/>
    </w:pPr>
    <w:rPr>
      <w:rFonts w:ascii="Times New Roman" w:hAnsi="Times New Roman" w:eastAsia="方正小标宋简体" w:cs="宋体"/>
      <w:bCs/>
      <w:kern w:val="44"/>
      <w:sz w:val="44"/>
      <w:szCs w:val="48"/>
      <w:lang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unhideWhenUsed/>
    <w:qFormat/>
    <w:uiPriority w:val="99"/>
    <w:pPr>
      <w:ind w:firstLine="420" w:firstLineChars="200"/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character" w:styleId="12">
    <w:name w:val="Strong"/>
    <w:basedOn w:val="1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2794</Words>
  <Characters>2917</Characters>
  <Lines>0</Lines>
  <Paragraphs>0</Paragraphs>
  <TotalTime>28</TotalTime>
  <ScaleCrop>false</ScaleCrop>
  <LinksUpToDate>false</LinksUpToDate>
  <CharactersWithSpaces>2917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2025-01-16T18:20:00Z</dcterms:created>
  <dc:creator>一只爷</dc:creator>
  <cp:lastModifiedBy>zdqzfbgs</cp:lastModifiedBy>
  <dcterms:modified xsi:type="dcterms:W3CDTF">2026-01-29T08:39:29Z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3F86092FBB1640DEA496969A84BD9A93_11</vt:lpwstr>
  </property>
  <property fmtid="{D5CDD505-2E9C-101B-9397-08002B2CF9AE}" pid="4" name="KSOTemplateDocerSaveRecord">
    <vt:lpwstr>eyJoZGlkIjoiZTA2ZGI4MGY0ZjgwNzk0YmNhNTNkN2E0NTRhYTAwMjMiLCJ1c2VySWQiOiIzNDk2ODgwMzAifQ==</vt:lpwstr>
  </property>
</Properties>
</file>