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jc w:val="center"/>
        <w:textAlignment w:val="auto"/>
        <w:rPr>
          <w:rFonts w:hint="eastAsia" w:ascii="宋体" w:hAnsi="宋体" w:eastAsia="宋体" w:cs="宋体"/>
          <w:b/>
          <w:bCs/>
          <w:spacing w:val="0"/>
          <w:sz w:val="44"/>
          <w:szCs w:val="44"/>
        </w:rPr>
      </w:pPr>
      <w:r>
        <w:rPr>
          <w:rFonts w:hint="eastAsia" w:ascii="宋体" w:hAnsi="宋体" w:eastAsia="宋体" w:cs="宋体"/>
          <w:b/>
          <w:bCs/>
          <w:spacing w:val="0"/>
          <w:sz w:val="44"/>
          <w:szCs w:val="44"/>
        </w:rPr>
        <w:t>张店区市场监督管理局20</w:t>
      </w:r>
      <w:r>
        <w:rPr>
          <w:rFonts w:hint="eastAsia" w:ascii="宋体" w:hAnsi="宋体" w:eastAsia="宋体" w:cs="宋体"/>
          <w:b/>
          <w:bCs/>
          <w:spacing w:val="0"/>
          <w:sz w:val="44"/>
          <w:szCs w:val="44"/>
          <w:lang w:val="en-US" w:eastAsia="zh-CN"/>
        </w:rPr>
        <w:t>20</w:t>
      </w:r>
      <w:r>
        <w:rPr>
          <w:rFonts w:hint="eastAsia" w:ascii="宋体" w:hAnsi="宋体" w:eastAsia="宋体" w:cs="宋体"/>
          <w:b/>
          <w:bCs/>
          <w:spacing w:val="0"/>
          <w:sz w:val="44"/>
          <w:szCs w:val="44"/>
        </w:rPr>
        <w:t>年</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jc w:val="center"/>
        <w:textAlignment w:val="auto"/>
      </w:pPr>
      <w:r>
        <w:rPr>
          <w:rFonts w:hint="eastAsia" w:ascii="宋体" w:hAnsi="宋体" w:eastAsia="宋体" w:cs="宋体"/>
          <w:b/>
          <w:bCs/>
          <w:spacing w:val="0"/>
          <w:sz w:val="44"/>
          <w:szCs w:val="44"/>
        </w:rPr>
        <w:t>政府信息公开工作年度报告</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pacing w:val="0"/>
          <w:sz w:val="31"/>
          <w:szCs w:val="31"/>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6"/>
        <w:textAlignment w:val="auto"/>
        <w:rPr>
          <w:rFonts w:hint="default" w:ascii="仿宋" w:hAnsi="仿宋" w:eastAsia="仿宋" w:cs="仿宋"/>
          <w:spacing w:val="0"/>
          <w:sz w:val="32"/>
          <w:szCs w:val="32"/>
          <w:lang w:val="en-US" w:eastAsia="zh-CN"/>
        </w:rPr>
      </w:pPr>
      <w:r>
        <w:rPr>
          <w:rFonts w:hint="eastAsia" w:ascii="仿宋" w:hAnsi="仿宋" w:eastAsia="仿宋" w:cs="仿宋"/>
          <w:spacing w:val="0"/>
          <w:sz w:val="32"/>
          <w:szCs w:val="32"/>
        </w:rPr>
        <w:t>本报告根据《中华人民共和国政府信息公开条例》的规定，由张店区市场监督管理局编制。统计数据的时限自20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年1月1日至20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年12月31日。本报告电子版可在淄博市张店区人民政府</w:t>
      </w:r>
      <w:r>
        <w:rPr>
          <w:rFonts w:hint="eastAsia" w:ascii="仿宋" w:hAnsi="仿宋" w:eastAsia="仿宋" w:cs="仿宋"/>
          <w:spacing w:val="0"/>
          <w:sz w:val="32"/>
          <w:szCs w:val="32"/>
          <w:lang w:val="en-US" w:eastAsia="zh-CN"/>
        </w:rPr>
        <w:t>政府信息</w:t>
      </w:r>
      <w:r>
        <w:rPr>
          <w:rFonts w:hint="eastAsia" w:ascii="仿宋" w:hAnsi="仿宋" w:eastAsia="仿宋" w:cs="仿宋"/>
          <w:spacing w:val="0"/>
          <w:sz w:val="32"/>
          <w:szCs w:val="32"/>
        </w:rPr>
        <w:t>网站查阅或下载。如对报告内容有疑问，请与张店区市场监督管理局办公室联系（地址：山东省淄博市张店区西五路十七中北街6号;邮编:255000;</w:t>
      </w:r>
      <w:r>
        <w:rPr>
          <w:rFonts w:hint="eastAsia" w:ascii="仿宋" w:hAnsi="仿宋" w:eastAsia="仿宋" w:cs="仿宋"/>
          <w:spacing w:val="0"/>
          <w:sz w:val="32"/>
          <w:szCs w:val="32"/>
          <w:lang w:val="en-US" w:eastAsia="zh-CN"/>
        </w:rPr>
        <w:t>电话：0533-2760027）。</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shd w:val="clear" w:fill="FFFFFF"/>
        </w:rPr>
      </w:pPr>
      <w:r>
        <w:rPr>
          <w:rFonts w:ascii="黑体" w:hAnsi="宋体" w:eastAsia="黑体" w:cs="黑体"/>
          <w:spacing w:val="0"/>
          <w:sz w:val="31"/>
          <w:szCs w:val="31"/>
        </w:rPr>
        <w:t>一、总体情况</w:t>
      </w:r>
      <w:r>
        <w:rPr>
          <w:rFonts w:hint="eastAsia" w:ascii="仿宋" w:hAnsi="仿宋" w:eastAsia="仿宋" w:cs="仿宋"/>
          <w:sz w:val="32"/>
          <w:szCs w:val="32"/>
          <w:shd w:val="clear" w:fill="FFFFFF"/>
        </w:rPr>
        <w:t>　</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shd w:val="clear" w:fill="FFFFFF"/>
        </w:rPr>
        <w:t>（一）2020年政务公开工作要点落实情况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1.加强权力配置信息公开。更新、完善、公开我单位工作职责、机构设置、主要领导信息、权责清单、行政执法事项清单、随机抽查事项清单等。</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2.加强权力运行过程信息公开。加快推进基层政务公开标准化规范化，依法保障人民群众知情权、参与权、表达权、监督权，在</w:t>
      </w:r>
      <w:r>
        <w:rPr>
          <w:rFonts w:hint="eastAsia" w:ascii="仿宋" w:hAnsi="仿宋" w:eastAsia="仿宋" w:cs="仿宋"/>
          <w:sz w:val="32"/>
          <w:szCs w:val="32"/>
          <w:shd w:val="clear" w:fill="FFFFFF"/>
          <w:lang w:val="en-US" w:eastAsia="zh-CN"/>
        </w:rPr>
        <w:t>区</w:t>
      </w:r>
      <w:r>
        <w:rPr>
          <w:rFonts w:hint="eastAsia" w:ascii="仿宋" w:hAnsi="仿宋" w:eastAsia="仿宋" w:cs="仿宋"/>
          <w:sz w:val="32"/>
          <w:szCs w:val="32"/>
          <w:shd w:val="clear" w:fill="FFFFFF"/>
        </w:rPr>
        <w:t>政府门户网站做好相关情况</w:t>
      </w:r>
      <w:r>
        <w:rPr>
          <w:rFonts w:hint="eastAsia" w:ascii="仿宋" w:hAnsi="仿宋" w:eastAsia="仿宋" w:cs="仿宋"/>
          <w:sz w:val="32"/>
          <w:szCs w:val="32"/>
          <w:shd w:val="clear" w:fill="FFFFFF"/>
          <w:lang w:val="en-US" w:eastAsia="zh-CN"/>
        </w:rPr>
        <w:t>公开</w:t>
      </w:r>
      <w:r>
        <w:rPr>
          <w:rFonts w:hint="eastAsia" w:ascii="仿宋" w:hAnsi="仿宋" w:eastAsia="仿宋" w:cs="仿宋"/>
          <w:sz w:val="32"/>
          <w:szCs w:val="32"/>
          <w:shd w:val="clear" w:fill="FFFFFF"/>
        </w:rPr>
        <w:t>。</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3.加强政务信息管理。建立工作制度、成立政务公开工作领导小组并及时更新主动公开基本目录。严格审核信息发布内容，规范信息发布流程。拟发布的信息由拟办</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核稿报业务分管领导审核,再提交局办公室汇总逐条审查提出意见，报政务公开分管领导审定,符合公开条件的信息，由专人统一发布。</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4.加强政策发布解读。坚持“谁起草谁解读”，及时准确将政策意图传递给市场和企业。今年至今我局共公开</w:t>
      </w:r>
      <w:r>
        <w:rPr>
          <w:rFonts w:hint="eastAsia" w:ascii="仿宋" w:hAnsi="仿宋" w:eastAsia="仿宋" w:cs="仿宋"/>
          <w:sz w:val="32"/>
          <w:szCs w:val="32"/>
          <w:shd w:val="clear" w:fill="FFFFFF"/>
          <w:lang w:val="en-US" w:eastAsia="zh-CN"/>
        </w:rPr>
        <w:t>5</w:t>
      </w:r>
      <w:r>
        <w:rPr>
          <w:rFonts w:hint="eastAsia" w:ascii="仿宋" w:hAnsi="仿宋" w:eastAsia="仿宋" w:cs="仿宋"/>
          <w:sz w:val="32"/>
          <w:szCs w:val="32"/>
          <w:shd w:val="clear" w:fill="FFFFFF"/>
        </w:rPr>
        <w:t xml:space="preserve"> 篇有关政策的解读。</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5.不断优化政务服务。进一步规范和完善办事指南，及时公布审批服务事项、办事指南、行政审批结果以及行政处罚结果。</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（二）主动公开政府信息情况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1.主动公开政府信息的数量</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2020年主动公开政府信息</w:t>
      </w:r>
      <w:r>
        <w:rPr>
          <w:rFonts w:hint="eastAsia" w:ascii="仿宋" w:hAnsi="仿宋" w:eastAsia="仿宋" w:cs="仿宋"/>
          <w:sz w:val="32"/>
          <w:szCs w:val="32"/>
          <w:shd w:val="clear" w:fill="FFFFFF"/>
          <w:lang w:val="en-US" w:eastAsia="zh-CN"/>
        </w:rPr>
        <w:t>1130</w:t>
      </w:r>
      <w:r>
        <w:rPr>
          <w:rFonts w:hint="eastAsia" w:ascii="仿宋" w:hAnsi="仿宋" w:eastAsia="仿宋" w:cs="仿宋"/>
          <w:sz w:val="32"/>
          <w:szCs w:val="32"/>
          <w:shd w:val="clear" w:fill="FFFFFF"/>
        </w:rPr>
        <w:t>条。</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2.主动公开政府信息的主要类别</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shd w:val="clear" w:fill="FFFFFF"/>
        </w:rPr>
        <w:t>　　主要类别有：</w:t>
      </w:r>
      <w:r>
        <w:rPr>
          <w:rFonts w:hint="eastAsia" w:ascii="仿宋" w:hAnsi="仿宋" w:eastAsia="仿宋" w:cs="仿宋"/>
          <w:sz w:val="32"/>
          <w:szCs w:val="32"/>
          <w:shd w:val="clear" w:fill="FFFFFF"/>
          <w:lang w:val="en-US" w:eastAsia="zh-CN"/>
        </w:rPr>
        <w:t>履职依据、机构职能、领导信息、专项规划、统计信息、重大决策预公开、会议公开、建议提案、行政权力、财政信息、重点领域信息公开、政策解读、人事信息、业务动态等。</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（三）政府信息依申请公开办理情况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　　1.2020年我局受理的申请数量：</w:t>
      </w:r>
      <w:r>
        <w:rPr>
          <w:rFonts w:hint="eastAsia" w:ascii="仿宋" w:hAnsi="仿宋" w:eastAsia="仿宋" w:cs="仿宋"/>
          <w:sz w:val="32"/>
          <w:szCs w:val="32"/>
          <w:shd w:val="clear" w:fill="FFFFFF"/>
          <w:lang w:val="en-US" w:eastAsia="zh-CN"/>
        </w:rPr>
        <w:t>5</w:t>
      </w:r>
      <w:r>
        <w:rPr>
          <w:rFonts w:hint="eastAsia" w:ascii="仿宋" w:hAnsi="仿宋" w:eastAsia="仿宋" w:cs="仿宋"/>
          <w:sz w:val="32"/>
          <w:szCs w:val="32"/>
          <w:shd w:val="clear" w:fill="FFFFFF"/>
        </w:rPr>
        <w:t>件   </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both"/>
        <w:textAlignment w:val="auto"/>
        <w:rPr>
          <w:rFonts w:hint="eastAsia" w:ascii="仿宋" w:hAnsi="仿宋" w:eastAsia="仿宋" w:cs="仿宋"/>
          <w:sz w:val="32"/>
          <w:szCs w:val="32"/>
          <w:shd w:val="clear" w:fill="FFFFFF"/>
          <w:lang w:val="en-US" w:eastAsia="zh-CN"/>
        </w:rPr>
      </w:pPr>
      <w:r>
        <w:rPr>
          <w:rFonts w:hint="eastAsia" w:ascii="仿宋" w:hAnsi="仿宋" w:eastAsia="仿宋" w:cs="仿宋"/>
          <w:sz w:val="32"/>
          <w:szCs w:val="32"/>
          <w:shd w:val="clear" w:fill="FFFFFF"/>
        </w:rPr>
        <w:t>　　2.对申请的办理情况：已答复件数：</w:t>
      </w:r>
      <w:r>
        <w:rPr>
          <w:rFonts w:hint="eastAsia" w:ascii="仿宋" w:hAnsi="仿宋" w:eastAsia="仿宋" w:cs="仿宋"/>
          <w:sz w:val="32"/>
          <w:szCs w:val="32"/>
          <w:shd w:val="clear" w:fill="FFFFFF"/>
          <w:lang w:val="en-US" w:eastAsia="zh-CN"/>
        </w:rPr>
        <w:t>5件</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sz w:val="32"/>
          <w:szCs w:val="32"/>
        </w:rPr>
      </w:pPr>
      <w:r>
        <w:rPr>
          <w:rFonts w:hint="eastAsia" w:ascii="仿宋" w:hAnsi="仿宋" w:eastAsia="仿宋" w:cs="仿宋"/>
          <w:sz w:val="32"/>
          <w:szCs w:val="32"/>
          <w:shd w:val="clear" w:fill="FFFFFF"/>
          <w:lang w:eastAsia="zh-CN"/>
        </w:rPr>
        <w:t>（</w:t>
      </w:r>
      <w:r>
        <w:rPr>
          <w:rFonts w:hint="eastAsia" w:ascii="仿宋" w:hAnsi="仿宋" w:eastAsia="仿宋" w:cs="仿宋"/>
          <w:sz w:val="32"/>
          <w:szCs w:val="32"/>
          <w:shd w:val="clear" w:fill="FFFFFF"/>
          <w:lang w:val="en-US" w:eastAsia="zh-CN"/>
        </w:rPr>
        <w:t>四</w:t>
      </w:r>
      <w:r>
        <w:rPr>
          <w:rFonts w:hint="eastAsia" w:ascii="仿宋" w:hAnsi="仿宋" w:eastAsia="仿宋" w:cs="仿宋"/>
          <w:sz w:val="32"/>
          <w:szCs w:val="32"/>
          <w:shd w:val="clear" w:fill="FFFFFF"/>
          <w:lang w:eastAsia="zh-CN"/>
        </w:rPr>
        <w:t>）</w:t>
      </w:r>
      <w:r>
        <w:rPr>
          <w:rFonts w:hint="eastAsia" w:ascii="仿宋" w:hAnsi="仿宋" w:eastAsia="仿宋" w:cs="仿宋"/>
          <w:sz w:val="32"/>
          <w:szCs w:val="32"/>
        </w:rPr>
        <w:t>工作考核、社会评议和责任追究结果情况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将政务公开工作列入单位年度工作计划和考核，2020年召开了一次政务公开工作专题部署会和一次政务公开工作培训会。</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（五）将人大建议和政协</w:t>
      </w:r>
      <w:r>
        <w:rPr>
          <w:rFonts w:hint="eastAsia" w:ascii="仿宋" w:hAnsi="仿宋" w:eastAsia="仿宋" w:cs="仿宋"/>
          <w:sz w:val="32"/>
          <w:szCs w:val="32"/>
        </w:rPr>
        <w:t>议提案办理结果</w:t>
      </w:r>
      <w:r>
        <w:rPr>
          <w:rFonts w:hint="eastAsia" w:ascii="仿宋" w:hAnsi="仿宋" w:eastAsia="仿宋" w:cs="仿宋"/>
          <w:sz w:val="32"/>
          <w:szCs w:val="32"/>
          <w:lang w:val="en-US" w:eastAsia="zh-CN"/>
        </w:rPr>
        <w:t>及时公开</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lang w:val="en-US" w:eastAsia="zh-CN"/>
        </w:rPr>
      </w:pPr>
      <w:r>
        <w:rPr>
          <w:rFonts w:hint="eastAsia" w:ascii="仿宋" w:hAnsi="仿宋" w:eastAsia="仿宋" w:cs="仿宋"/>
          <w:spacing w:val="0"/>
          <w:sz w:val="32"/>
          <w:szCs w:val="32"/>
        </w:rPr>
        <w:t>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年共收到人大代表建议</w:t>
      </w:r>
      <w:r>
        <w:rPr>
          <w:rFonts w:hint="eastAsia" w:ascii="仿宋" w:hAnsi="仿宋" w:eastAsia="仿宋" w:cs="仿宋"/>
          <w:spacing w:val="0"/>
          <w:sz w:val="32"/>
          <w:szCs w:val="32"/>
          <w:lang w:val="en-US" w:eastAsia="zh-CN"/>
        </w:rPr>
        <w:t>6</w:t>
      </w:r>
      <w:r>
        <w:rPr>
          <w:rFonts w:hint="eastAsia" w:ascii="仿宋" w:hAnsi="仿宋" w:eastAsia="仿宋" w:cs="仿宋"/>
          <w:spacing w:val="0"/>
          <w:sz w:val="32"/>
          <w:szCs w:val="32"/>
        </w:rPr>
        <w:t>件，政协委员提案</w:t>
      </w:r>
      <w:r>
        <w:rPr>
          <w:rFonts w:hint="eastAsia" w:ascii="仿宋" w:hAnsi="仿宋" w:eastAsia="仿宋" w:cs="仿宋"/>
          <w:spacing w:val="0"/>
          <w:sz w:val="32"/>
          <w:szCs w:val="32"/>
          <w:lang w:val="en-US" w:eastAsia="zh-CN"/>
        </w:rPr>
        <w:t>17</w:t>
      </w:r>
      <w:r>
        <w:rPr>
          <w:rFonts w:hint="eastAsia" w:ascii="仿宋" w:hAnsi="仿宋" w:eastAsia="仿宋" w:cs="仿宋"/>
          <w:spacing w:val="0"/>
          <w:sz w:val="32"/>
          <w:szCs w:val="32"/>
        </w:rPr>
        <w:t>件，按照人大建议、政协提案办理工作方案安排，我局不断改进办理方式，优化办理流程，已完成交办、走访工作，全部办结。从走访或电话沟通的情况看，代表委员满意率为100%。张店区市场监督管理局办理的人大建议、政协提案在办理完成后在区政府门户网站政府信息公开专栏进行公开。</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主动公开政府信息情况相关统计数据</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2020年我局共发布统计数据6次，统计分析3次。</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w:t>
      </w:r>
      <w:r>
        <w:rPr>
          <w:rFonts w:hint="eastAsia" w:ascii="仿宋" w:hAnsi="仿宋" w:eastAsia="仿宋" w:cs="仿宋"/>
          <w:sz w:val="32"/>
          <w:szCs w:val="32"/>
          <w:shd w:val="clear" w:fill="FFFFFF"/>
          <w:lang w:val="en-US" w:eastAsia="zh-CN"/>
        </w:rPr>
        <w:t>七</w:t>
      </w:r>
      <w:r>
        <w:rPr>
          <w:rFonts w:hint="eastAsia" w:ascii="仿宋" w:hAnsi="仿宋" w:eastAsia="仿宋" w:cs="仿宋"/>
          <w:sz w:val="32"/>
          <w:szCs w:val="32"/>
          <w:shd w:val="clear" w:fill="FFFFFF"/>
        </w:rPr>
        <w:t>）政府信息管理情况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shd w:val="clear" w:fill="FFFFFF"/>
        </w:rPr>
      </w:pPr>
      <w:r>
        <w:rPr>
          <w:rFonts w:hint="eastAsia" w:ascii="仿宋" w:hAnsi="仿宋" w:eastAsia="仿宋" w:cs="仿宋"/>
          <w:sz w:val="32"/>
          <w:szCs w:val="32"/>
          <w:shd w:val="clear" w:fill="FFFFFF"/>
        </w:rPr>
        <w:t>不断完善信息发布制度，制定信息公开工作制度，下发《关于进一步加强保密工作的通知》,严格审核信息发布内容，规范信息发布流程。拟公开的信息由拟办</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核稿报业务分管领导审核,再提交局办公室汇总逐条审查提出意见，报政务公开分管领导审定,符合公开条件的信息，由专人在网站上发布。</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rPr>
      </w:pPr>
      <w:r>
        <w:rPr>
          <w:rFonts w:hint="eastAsia" w:ascii="仿宋" w:hAnsi="仿宋" w:eastAsia="仿宋" w:cs="仿宋"/>
          <w:sz w:val="32"/>
          <w:szCs w:val="32"/>
          <w:shd w:val="clear" w:fill="FFFFFF"/>
          <w:lang w:val="en-US" w:eastAsia="zh-CN"/>
        </w:rPr>
        <w:t>（八）</w:t>
      </w:r>
      <w:r>
        <w:rPr>
          <w:rFonts w:hint="eastAsia" w:ascii="仿宋" w:hAnsi="仿宋" w:eastAsia="仿宋" w:cs="仿宋"/>
          <w:spacing w:val="0"/>
          <w:sz w:val="32"/>
          <w:szCs w:val="32"/>
        </w:rPr>
        <w:t>重点领域政府信息公开工作推进情况和公开情况</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sz w:val="32"/>
          <w:szCs w:val="32"/>
        </w:rPr>
      </w:pPr>
      <w:r>
        <w:rPr>
          <w:rFonts w:hint="eastAsia" w:ascii="仿宋" w:hAnsi="仿宋" w:eastAsia="仿宋" w:cs="仿宋"/>
          <w:spacing w:val="0"/>
          <w:sz w:val="32"/>
          <w:szCs w:val="32"/>
        </w:rPr>
        <w:t>积极做好政府门户网站信息公开工作，着重从完善管理机制、丰富网站内容、促进互动交流等方面进一步开展工作，取得了较好的效果，为更好地推动政府信息公开工作奠定了坚实基础。</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5"/>
        <w:textAlignment w:val="auto"/>
        <w:rPr>
          <w:sz w:val="32"/>
          <w:szCs w:val="32"/>
        </w:rPr>
      </w:pPr>
      <w:r>
        <w:rPr>
          <w:rFonts w:hint="eastAsia" w:ascii="仿宋" w:hAnsi="仿宋" w:eastAsia="仿宋" w:cs="仿宋"/>
          <w:sz w:val="32"/>
          <w:szCs w:val="32"/>
        </w:rPr>
        <w:t>一是抽检信息公开。20</w:t>
      </w:r>
      <w:r>
        <w:rPr>
          <w:rFonts w:hint="eastAsia" w:ascii="仿宋" w:hAnsi="仿宋" w:eastAsia="仿宋" w:cs="仿宋"/>
          <w:sz w:val="32"/>
          <w:szCs w:val="32"/>
          <w:lang w:val="en-US" w:eastAsia="zh-CN"/>
        </w:rPr>
        <w:t>20</w:t>
      </w:r>
      <w:r>
        <w:rPr>
          <w:rFonts w:hint="eastAsia" w:ascii="仿宋" w:hAnsi="仿宋" w:eastAsia="仿宋" w:cs="仿宋"/>
          <w:sz w:val="32"/>
          <w:szCs w:val="32"/>
        </w:rPr>
        <w:t>年度在区政府网站公开了食品生产、流通、餐饮服务单位等信息以及与人民群众日常消费关系密切的抽检信息和成品油、</w:t>
      </w:r>
      <w:r>
        <w:rPr>
          <w:rFonts w:hint="eastAsia" w:ascii="仿宋" w:hAnsi="仿宋" w:eastAsia="仿宋" w:cs="仿宋"/>
          <w:sz w:val="32"/>
          <w:szCs w:val="32"/>
          <w:lang w:val="en-US" w:eastAsia="zh-CN"/>
        </w:rPr>
        <w:t>学生用品及儿童玩具</w:t>
      </w:r>
      <w:r>
        <w:rPr>
          <w:rFonts w:hint="eastAsia" w:ascii="仿宋" w:hAnsi="仿宋" w:eastAsia="仿宋" w:cs="仿宋"/>
          <w:sz w:val="32"/>
          <w:szCs w:val="32"/>
        </w:rPr>
        <w:t>、</w:t>
      </w:r>
      <w:r>
        <w:rPr>
          <w:rFonts w:hint="eastAsia" w:ascii="仿宋" w:hAnsi="仿宋" w:eastAsia="仿宋" w:cs="仿宋"/>
          <w:sz w:val="32"/>
          <w:szCs w:val="32"/>
          <w:lang w:val="en-US" w:eastAsia="zh-CN"/>
        </w:rPr>
        <w:t>农资产品、车用尿素</w:t>
      </w:r>
      <w:r>
        <w:rPr>
          <w:rFonts w:hint="eastAsia" w:ascii="仿宋" w:hAnsi="仿宋" w:eastAsia="仿宋" w:cs="仿宋"/>
          <w:sz w:val="32"/>
          <w:szCs w:val="32"/>
        </w:rPr>
        <w:t>产品的抽检信息。20</w:t>
      </w:r>
      <w:r>
        <w:rPr>
          <w:rFonts w:hint="eastAsia" w:ascii="仿宋" w:hAnsi="仿宋" w:eastAsia="仿宋" w:cs="仿宋"/>
          <w:sz w:val="32"/>
          <w:szCs w:val="32"/>
          <w:lang w:val="en-US" w:eastAsia="zh-CN"/>
        </w:rPr>
        <w:t>20</w:t>
      </w:r>
      <w:r>
        <w:rPr>
          <w:rFonts w:hint="eastAsia" w:ascii="仿宋" w:hAnsi="仿宋" w:eastAsia="仿宋" w:cs="仿宋"/>
          <w:sz w:val="32"/>
          <w:szCs w:val="32"/>
        </w:rPr>
        <w:t>年共公开抽检样品信息</w:t>
      </w:r>
      <w:r>
        <w:rPr>
          <w:rFonts w:hint="eastAsia" w:ascii="仿宋" w:hAnsi="仿宋" w:eastAsia="仿宋" w:cs="仿宋"/>
          <w:sz w:val="32"/>
          <w:szCs w:val="32"/>
          <w:lang w:val="en-US" w:eastAsia="zh-CN"/>
        </w:rPr>
        <w:t>3885</w:t>
      </w:r>
      <w:r>
        <w:rPr>
          <w:rFonts w:hint="eastAsia" w:ascii="仿宋" w:hAnsi="仿宋" w:eastAsia="仿宋" w:cs="仿宋"/>
          <w:sz w:val="32"/>
          <w:szCs w:val="32"/>
        </w:rPr>
        <w:t>批次，其中合格</w:t>
      </w:r>
      <w:r>
        <w:rPr>
          <w:rFonts w:hint="eastAsia" w:ascii="仿宋" w:hAnsi="仿宋" w:eastAsia="仿宋" w:cs="仿宋"/>
          <w:sz w:val="32"/>
          <w:szCs w:val="32"/>
          <w:lang w:val="en-US" w:eastAsia="zh-CN"/>
        </w:rPr>
        <w:t>3617</w:t>
      </w:r>
      <w:r>
        <w:rPr>
          <w:rFonts w:hint="eastAsia" w:ascii="仿宋" w:hAnsi="仿宋" w:eastAsia="仿宋" w:cs="仿宋"/>
          <w:sz w:val="32"/>
          <w:szCs w:val="32"/>
        </w:rPr>
        <w:t>批次，不合格</w:t>
      </w:r>
      <w:r>
        <w:rPr>
          <w:rFonts w:hint="eastAsia" w:ascii="仿宋" w:hAnsi="仿宋" w:eastAsia="仿宋" w:cs="仿宋"/>
          <w:sz w:val="32"/>
          <w:szCs w:val="32"/>
          <w:lang w:val="en-US" w:eastAsia="zh-CN"/>
        </w:rPr>
        <w:t>268</w:t>
      </w:r>
      <w:r>
        <w:rPr>
          <w:rFonts w:hint="eastAsia" w:ascii="仿宋" w:hAnsi="仿宋" w:eastAsia="仿宋" w:cs="仿宋"/>
          <w:sz w:val="32"/>
          <w:szCs w:val="32"/>
        </w:rPr>
        <w:t>批次，合格率93.</w:t>
      </w:r>
      <w:r>
        <w:rPr>
          <w:rFonts w:hint="eastAsia" w:ascii="仿宋" w:hAnsi="仿宋" w:eastAsia="仿宋" w:cs="仿宋"/>
          <w:sz w:val="32"/>
          <w:szCs w:val="32"/>
          <w:lang w:val="en-US" w:eastAsia="zh-CN"/>
        </w:rPr>
        <w:t>10</w:t>
      </w:r>
      <w:r>
        <w:rPr>
          <w:rFonts w:hint="eastAsia" w:ascii="仿宋" w:hAnsi="仿宋" w:eastAsia="仿宋" w:cs="仿宋"/>
          <w:sz w:val="32"/>
          <w:szCs w:val="32"/>
        </w:rPr>
        <w:t>%。</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left="0" w:firstLine="645"/>
        <w:textAlignment w:val="auto"/>
        <w:rPr>
          <w:sz w:val="32"/>
          <w:szCs w:val="32"/>
        </w:rPr>
      </w:pPr>
      <w:r>
        <w:rPr>
          <w:rFonts w:hint="eastAsia" w:ascii="仿宋" w:hAnsi="仿宋" w:eastAsia="仿宋" w:cs="仿宋"/>
          <w:sz w:val="32"/>
          <w:szCs w:val="32"/>
        </w:rPr>
        <w:t>二是典型案件处置公开。及时公开依法查办的各类行政处罚案件相关信息，公开20</w:t>
      </w:r>
      <w:r>
        <w:rPr>
          <w:rFonts w:hint="eastAsia" w:ascii="仿宋" w:hAnsi="仿宋" w:eastAsia="仿宋" w:cs="仿宋"/>
          <w:sz w:val="32"/>
          <w:szCs w:val="32"/>
          <w:lang w:val="en-US" w:eastAsia="zh-CN"/>
        </w:rPr>
        <w:t>20</w:t>
      </w:r>
      <w:r>
        <w:rPr>
          <w:rFonts w:hint="eastAsia" w:ascii="仿宋" w:hAnsi="仿宋" w:eastAsia="仿宋" w:cs="仿宋"/>
          <w:sz w:val="32"/>
          <w:szCs w:val="32"/>
        </w:rPr>
        <w:t>年度各类行政处罚案件信息</w:t>
      </w:r>
      <w:r>
        <w:rPr>
          <w:rFonts w:hint="eastAsia" w:ascii="仿宋" w:hAnsi="仿宋" w:eastAsia="仿宋" w:cs="仿宋"/>
          <w:sz w:val="32"/>
          <w:szCs w:val="32"/>
          <w:lang w:val="en-US" w:eastAsia="zh-CN"/>
        </w:rPr>
        <w:t>49</w:t>
      </w:r>
      <w:r>
        <w:rPr>
          <w:rFonts w:hint="eastAsia" w:ascii="仿宋" w:hAnsi="仿宋" w:eastAsia="仿宋" w:cs="仿宋"/>
          <w:sz w:val="32"/>
          <w:szCs w:val="32"/>
        </w:rPr>
        <w:t>4批次。</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left="0" w:firstLine="645"/>
        <w:textAlignment w:val="auto"/>
        <w:rPr>
          <w:rFonts w:hint="default" w:ascii="仿宋" w:hAnsi="仿宋" w:eastAsia="仿宋" w:cs="仿宋"/>
          <w:sz w:val="32"/>
          <w:szCs w:val="32"/>
          <w:shd w:val="clear" w:fill="FFFFFF"/>
          <w:lang w:val="en-US" w:eastAsia="zh-CN"/>
        </w:rPr>
      </w:pPr>
      <w:r>
        <w:rPr>
          <w:rFonts w:hint="eastAsia" w:ascii="仿宋" w:hAnsi="仿宋" w:eastAsia="仿宋" w:cs="仿宋"/>
          <w:sz w:val="32"/>
          <w:szCs w:val="32"/>
        </w:rPr>
        <w:t>三是警示信息发布。20</w:t>
      </w:r>
      <w:r>
        <w:rPr>
          <w:rFonts w:hint="eastAsia" w:ascii="仿宋" w:hAnsi="仿宋" w:eastAsia="仿宋" w:cs="仿宋"/>
          <w:sz w:val="32"/>
          <w:szCs w:val="32"/>
          <w:lang w:val="en-US" w:eastAsia="zh-CN"/>
        </w:rPr>
        <w:t>20</w:t>
      </w:r>
      <w:r>
        <w:rPr>
          <w:rFonts w:hint="eastAsia" w:ascii="仿宋" w:hAnsi="仿宋" w:eastAsia="仿宋" w:cs="仿宋"/>
          <w:sz w:val="32"/>
          <w:szCs w:val="32"/>
        </w:rPr>
        <w:t>年在张店市场监管官方公众号发布警示信息</w:t>
      </w:r>
      <w:r>
        <w:rPr>
          <w:rFonts w:hint="eastAsia" w:ascii="仿宋" w:hAnsi="仿宋" w:eastAsia="仿宋" w:cs="仿宋"/>
          <w:sz w:val="32"/>
          <w:szCs w:val="32"/>
          <w:lang w:val="en-US" w:eastAsia="zh-CN"/>
        </w:rPr>
        <w:t>36</w:t>
      </w:r>
      <w:r>
        <w:rPr>
          <w:rFonts w:hint="eastAsia" w:ascii="仿宋" w:hAnsi="仿宋" w:eastAsia="仿宋" w:cs="仿宋"/>
          <w:sz w:val="32"/>
          <w:szCs w:val="32"/>
        </w:rPr>
        <w:t>条。</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rPr>
      </w:pPr>
      <w:r>
        <w:rPr>
          <w:rFonts w:hint="eastAsia" w:ascii="仿宋" w:hAnsi="仿宋" w:eastAsia="仿宋" w:cs="仿宋"/>
          <w:sz w:val="32"/>
          <w:szCs w:val="32"/>
          <w:shd w:val="clear" w:fill="FFFFFF"/>
        </w:rPr>
        <w:t>（</w:t>
      </w:r>
      <w:r>
        <w:rPr>
          <w:rFonts w:hint="eastAsia" w:ascii="仿宋" w:hAnsi="仿宋" w:eastAsia="仿宋" w:cs="仿宋"/>
          <w:sz w:val="32"/>
          <w:szCs w:val="32"/>
          <w:shd w:val="clear" w:fill="FFFFFF"/>
          <w:lang w:val="en-US" w:eastAsia="zh-CN"/>
        </w:rPr>
        <w:t>九</w:t>
      </w:r>
      <w:r>
        <w:rPr>
          <w:rFonts w:hint="eastAsia" w:ascii="仿宋" w:hAnsi="仿宋" w:eastAsia="仿宋" w:cs="仿宋"/>
          <w:sz w:val="32"/>
          <w:szCs w:val="32"/>
          <w:shd w:val="clear" w:fill="FFFFFF"/>
        </w:rPr>
        <w:t>）</w:t>
      </w:r>
      <w:r>
        <w:rPr>
          <w:rFonts w:hint="eastAsia" w:ascii="仿宋" w:hAnsi="仿宋" w:eastAsia="仿宋" w:cs="仿宋"/>
          <w:sz w:val="32"/>
          <w:szCs w:val="32"/>
        </w:rPr>
        <w:t>上一年度政府信息公开工作中存在的主要问题及改进情况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2019年的政务公开工作主要存在的问题是格式不统一、事项不规范。2020年，借着更换政务公开工作平台的机会，我局严格按照政务公开事项和格式要求做了彻底整改。</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pacing w:val="0"/>
          <w:sz w:val="32"/>
          <w:szCs w:val="32"/>
        </w:rPr>
        <w:t>因政府信息公开申请提起行政复议、行政诉讼的情况</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sz w:val="32"/>
          <w:szCs w:val="32"/>
          <w:lang w:val="en-US" w:eastAsia="zh-CN"/>
        </w:rPr>
      </w:pPr>
      <w:r>
        <w:rPr>
          <w:rFonts w:hint="eastAsia" w:ascii="仿宋" w:hAnsi="仿宋" w:eastAsia="仿宋" w:cs="仿宋"/>
          <w:spacing w:val="0"/>
          <w:sz w:val="32"/>
          <w:szCs w:val="32"/>
        </w:rPr>
        <w:t>20</w:t>
      </w:r>
      <w:r>
        <w:rPr>
          <w:rFonts w:hint="eastAsia" w:ascii="仿宋" w:hAnsi="仿宋" w:eastAsia="仿宋" w:cs="仿宋"/>
          <w:spacing w:val="0"/>
          <w:sz w:val="32"/>
          <w:szCs w:val="32"/>
          <w:lang w:val="en-US" w:eastAsia="zh-CN"/>
        </w:rPr>
        <w:t>20</w:t>
      </w:r>
      <w:r>
        <w:rPr>
          <w:rFonts w:hint="eastAsia" w:ascii="仿宋" w:hAnsi="仿宋" w:eastAsia="仿宋" w:cs="仿宋"/>
          <w:spacing w:val="0"/>
          <w:sz w:val="32"/>
          <w:szCs w:val="32"/>
        </w:rPr>
        <w:t>年，未发生因违反政府信息公开工作规定而出现的行政复议和行政诉讼情况。</w:t>
      </w:r>
    </w:p>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left="0" w:firstLine="645"/>
        <w:jc w:val="both"/>
        <w:textAlignment w:val="auto"/>
      </w:pPr>
      <w:r>
        <w:rPr>
          <w:rFonts w:hint="eastAsia" w:ascii="黑体" w:hAnsi="宋体" w:eastAsia="黑体" w:cs="黑体"/>
          <w:color w:val="333333"/>
          <w:sz w:val="31"/>
          <w:szCs w:val="31"/>
          <w:shd w:val="clear" w:fill="FFFFFF"/>
        </w:rPr>
        <w:t>二、主动公开政府信息情况</w:t>
      </w:r>
    </w:p>
    <w:tbl>
      <w:tblPr>
        <w:tblStyle w:val="3"/>
        <w:tblW w:w="871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048"/>
        <w:gridCol w:w="30"/>
        <w:gridCol w:w="2088"/>
        <w:gridCol w:w="1515"/>
        <w:gridCol w:w="2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本年新制作数量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本年新</w:t>
            </w:r>
            <w:r>
              <w:rPr>
                <w:rFonts w:hint="eastAsia" w:ascii="宋体" w:hAnsi="宋体" w:eastAsia="宋体" w:cs="宋体"/>
                <w:sz w:val="24"/>
                <w:szCs w:val="24"/>
              </w:rPr>
              <w:br w:type="textWrapping"/>
            </w:r>
            <w:r>
              <w:rPr>
                <w:rFonts w:hint="eastAsia" w:ascii="宋体" w:hAnsi="宋体" w:eastAsia="宋体" w:cs="宋体"/>
                <w:sz w:val="24"/>
                <w:szCs w:val="24"/>
              </w:rPr>
              <w:t>公开数量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对外公开</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规章</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lang w:val="en-US" w:eastAsia="zh-CN"/>
              </w:rPr>
              <w:t>18</w:t>
            </w:r>
            <w: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ascii="宋体" w:hAnsi="宋体" w:eastAsia="宋体" w:cs="宋体"/>
                <w:sz w:val="24"/>
                <w:szCs w:val="24"/>
                <w:lang w:val="en-US" w:eastAsia="zh-CN"/>
              </w:rPr>
              <w:t>18</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规范性文件</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rPr>
              <w:t>0</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 0</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t>　</w:t>
            </w:r>
            <w:r>
              <w:rPr>
                <w:rFonts w:hint="eastAsia" w:ascii="宋体" w:hAnsi="宋体" w:eastAsia="宋体" w:cs="宋体"/>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上一年项目数量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行政许可</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934</w:t>
            </w:r>
            <w: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lang w:val="en-US" w:eastAsia="zh-CN"/>
              </w:rPr>
              <w:t>26.55</w:t>
            </w:r>
            <w:r>
              <w:rPr>
                <w:rFonts w:hint="eastAsia" w:ascii="宋体" w:hAnsi="宋体" w:eastAsia="宋体" w:cs="宋体"/>
                <w:sz w:val="24"/>
                <w:szCs w:val="24"/>
              </w:rPr>
              <w:t>%</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1182</w:t>
            </w: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其他对外管理服务事项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上一年项目数量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行政处罚</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t>　</w:t>
            </w:r>
            <w:r>
              <w:rPr>
                <w:rFonts w:hint="eastAsia" w:ascii="宋体" w:hAnsi="宋体" w:eastAsia="宋体" w:cs="宋体"/>
                <w:sz w:val="24"/>
                <w:szCs w:val="24"/>
                <w:lang w:val="en-US" w:eastAsia="zh-CN"/>
              </w:rPr>
              <w:t>4</w:t>
            </w:r>
            <w:r>
              <w:rPr>
                <w:rFonts w:hint="eastAsia" w:ascii="宋体" w:hAnsi="宋体" w:eastAsia="宋体" w:cs="宋体"/>
                <w:sz w:val="24"/>
                <w:szCs w:val="24"/>
              </w:rPr>
              <w:t>75</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26.7</w:t>
            </w:r>
            <w:r>
              <w:rPr>
                <w:rFonts w:hint="eastAsia" w:ascii="宋体" w:hAnsi="宋体" w:eastAsia="宋体" w:cs="宋体"/>
                <w:sz w:val="24"/>
                <w:szCs w:val="24"/>
              </w:rPr>
              <w:t>%</w:t>
            </w:r>
            <w: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475</w:t>
            </w: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行政强制</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上一年项目数量</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行政事业性收费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r>
              <w:t>　</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3090"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信息内容</w:t>
            </w:r>
          </w:p>
        </w:tc>
        <w:tc>
          <w:tcPr>
            <w:tcW w:w="21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采购项目数量</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5" w:hRule="atLeast"/>
          <w:tblCellSpacing w:w="15" w:type="dxa"/>
        </w:trPr>
        <w:tc>
          <w:tcPr>
            <w:tcW w:w="3090"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政府集中采购</w:t>
            </w:r>
          </w:p>
        </w:tc>
        <w:tc>
          <w:tcPr>
            <w:tcW w:w="21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2</w:t>
            </w:r>
            <w:r>
              <w:t>　</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lang w:val="en-US" w:eastAsia="zh-CN"/>
              </w:rPr>
              <w:t>358</w:t>
            </w:r>
            <w:r>
              <w:rPr>
                <w:rFonts w:hint="eastAsia" w:ascii="宋体" w:hAnsi="宋体" w:eastAsia="宋体" w:cs="宋体"/>
                <w:sz w:val="24"/>
                <w:szCs w:val="24"/>
              </w:rPr>
              <w:t>万</w:t>
            </w:r>
          </w:p>
        </w:tc>
      </w:tr>
    </w:tbl>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left="0" w:firstLine="645"/>
        <w:jc w:val="both"/>
        <w:textAlignment w:val="auto"/>
      </w:pPr>
      <w:r>
        <w:rPr>
          <w:shd w:val="clear" w:fill="FFFFFF"/>
        </w:rPr>
        <w:t> </w:t>
      </w:r>
    </w:p>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240" w:lineRule="auto"/>
        <w:ind w:firstLine="620" w:firstLineChars="200"/>
        <w:jc w:val="both"/>
        <w:textAlignment w:val="auto"/>
      </w:pPr>
      <w:r>
        <w:rPr>
          <w:rFonts w:hint="eastAsia" w:ascii="黑体" w:hAnsi="宋体" w:eastAsia="黑体" w:cs="黑体"/>
          <w:color w:val="333333"/>
          <w:sz w:val="31"/>
          <w:szCs w:val="31"/>
          <w:shd w:val="clear" w:fill="FFFFFF"/>
        </w:rPr>
        <w:t>三、收到和处理政府信息公开申请情况</w:t>
      </w:r>
    </w:p>
    <w:tbl>
      <w:tblPr>
        <w:tblStyle w:val="3"/>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35"/>
        <w:gridCol w:w="1389"/>
        <w:gridCol w:w="2637"/>
        <w:gridCol w:w="844"/>
        <w:gridCol w:w="588"/>
        <w:gridCol w:w="588"/>
        <w:gridCol w:w="588"/>
        <w:gridCol w:w="588"/>
        <w:gridCol w:w="561"/>
        <w:gridCol w:w="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blCellSpacing w:w="15" w:type="dxa"/>
        </w:trPr>
        <w:tc>
          <w:tcPr>
            <w:tcW w:w="4785" w:type="dxa"/>
            <w:gridSpan w:val="3"/>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（本列数据的勾稽关系为：第一项加第二项之和，</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等于第三项加第四项之和）</w:t>
            </w:r>
          </w:p>
        </w:tc>
        <w:tc>
          <w:tcPr>
            <w:tcW w:w="4290" w:type="dxa"/>
            <w:gridSpan w:val="7"/>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4785" w:type="dxa"/>
            <w:gridSpan w:val="3"/>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85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自然人</w:t>
            </w:r>
          </w:p>
        </w:tc>
        <w:tc>
          <w:tcPr>
            <w:tcW w:w="2805"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法人或其他组织</w:t>
            </w:r>
          </w:p>
        </w:tc>
        <w:tc>
          <w:tcPr>
            <w:tcW w:w="63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blCellSpacing w:w="15" w:type="dxa"/>
        </w:trPr>
        <w:tc>
          <w:tcPr>
            <w:tcW w:w="4785" w:type="dxa"/>
            <w:gridSpan w:val="3"/>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85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商业企业</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科研机构</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社会公益组织</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法律服务机构</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tc>
        <w:tc>
          <w:tcPr>
            <w:tcW w:w="63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一、本年新收政府信息公开申请数量</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rPr>
                <w:rFonts w:hint="eastAsia" w:ascii="宋体" w:hAnsi="宋体" w:eastAsia="宋体" w:cs="宋体"/>
                <w:sz w:val="21"/>
                <w:szCs w:val="21"/>
                <w:lang w:val="en-US" w:eastAsia="zh-CN"/>
              </w:rPr>
              <w:t>5</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eastAsia" w:eastAsiaTheme="minorEastAsia"/>
                <w:lang w:eastAsia="zh-CN"/>
              </w:rPr>
            </w:pPr>
            <w:r>
              <w:rPr>
                <w:rFonts w:hint="eastAsia" w:ascii="宋体" w:hAnsi="宋体" w:eastAsia="宋体" w:cs="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二、上年结转政府信息公开申请数量</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三、本年度办理结果</w:t>
            </w:r>
          </w:p>
        </w:tc>
        <w:tc>
          <w:tcPr>
            <w:tcW w:w="4260"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ascii="楷体" w:hAnsi="楷体" w:eastAsia="楷体" w:cs="楷体"/>
                <w:sz w:val="19"/>
                <w:szCs w:val="19"/>
              </w:rPr>
              <w:t>（一）予以公开</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5</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4260"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（二）部分公开（区分处理的，只计这一情形，不计其他情形）</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（三）不予公开</w:t>
            </w: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1.属于国家秘密</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2.其他法律行政法规禁止公开</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3.危及“三安全一稳定”</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4.保护第三方合法权益</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5.属于三类内部事务信息</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6.属于四类过程性信息</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7.属于行政执法案卷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8.属于行政查询事项</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（四）无法提供</w:t>
            </w: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1.本机关不掌握相关政府信息</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2.没有现成信息需要另行制作</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3.补正后申请内容仍不明确</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（五）不予处理</w:t>
            </w: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1.信访举报投诉类申请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2.重复申请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3.要求提供公开出版物</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4.无正当理由大量反复申请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14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283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5.要求行政机关确认或重新</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left="0" w:firstLine="195"/>
              <w:textAlignment w:val="auto"/>
            </w:pPr>
            <w:r>
              <w:rPr>
                <w:rFonts w:hint="eastAsia" w:ascii="楷体" w:hAnsi="楷体" w:eastAsia="楷体" w:cs="楷体"/>
                <w:sz w:val="19"/>
                <w:szCs w:val="19"/>
              </w:rPr>
              <w:t>出具已获取信息</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4260"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（六）其他处理</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4260" w:type="dxa"/>
            <w:gridSpan w:val="2"/>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楷体" w:hAnsi="楷体" w:eastAsia="楷体" w:cs="楷体"/>
                <w:sz w:val="19"/>
                <w:szCs w:val="19"/>
              </w:rPr>
              <w:t>（七）总计</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5</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rPr>
                <w:rFonts w:hint="default" w:eastAsiaTheme="minorEastAsia"/>
                <w:lang w:val="en-US" w:eastAsia="zh-CN"/>
              </w:rPr>
            </w:pPr>
            <w:r>
              <w:rPr>
                <w:rFonts w:hint="eastAsia"/>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19"/>
                <w:szCs w:val="19"/>
              </w:rPr>
              <w:t>四、结转下年度继续办理</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1"/>
                <w:szCs w:val="21"/>
              </w:rPr>
              <w:t>0</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54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t> </w:t>
            </w:r>
          </w:p>
        </w:tc>
        <w:tc>
          <w:tcPr>
            <w:tcW w:w="63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24"/>
                <w:szCs w:val="24"/>
              </w:rPr>
              <w:t>0</w:t>
            </w:r>
          </w:p>
        </w:tc>
      </w:tr>
    </w:tbl>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bookmarkStart w:id="0" w:name="_GoBack"/>
      <w:bookmarkEnd w:id="0"/>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620" w:firstLineChars="200"/>
        <w:textAlignment w:val="auto"/>
      </w:pPr>
      <w:r>
        <w:rPr>
          <w:rFonts w:hint="eastAsia" w:ascii="黑体" w:hAnsi="宋体" w:eastAsia="黑体" w:cs="黑体"/>
          <w:color w:val="333333"/>
          <w:sz w:val="31"/>
          <w:szCs w:val="31"/>
          <w:shd w:val="clear" w:fill="FFFFFF"/>
        </w:rPr>
        <w:t>四、政府信息公开行政复议、行政诉讼情况</w:t>
      </w:r>
    </w:p>
    <w:tbl>
      <w:tblPr>
        <w:tblStyle w:val="3"/>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05"/>
        <w:gridCol w:w="590"/>
        <w:gridCol w:w="591"/>
        <w:gridCol w:w="591"/>
        <w:gridCol w:w="639"/>
        <w:gridCol w:w="573"/>
        <w:gridCol w:w="610"/>
        <w:gridCol w:w="610"/>
        <w:gridCol w:w="610"/>
        <w:gridCol w:w="610"/>
        <w:gridCol w:w="610"/>
        <w:gridCol w:w="610"/>
        <w:gridCol w:w="610"/>
        <w:gridCol w:w="610"/>
        <w:gridCol w:w="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blCellSpacing w:w="15" w:type="dxa"/>
        </w:trPr>
        <w:tc>
          <w:tcPr>
            <w:tcW w:w="3075"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行政复议</w:t>
            </w:r>
          </w:p>
        </w:tc>
        <w:tc>
          <w:tcPr>
            <w:tcW w:w="6000" w:type="dxa"/>
            <w:gridSpan w:val="10"/>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0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维持</w:t>
            </w:r>
          </w:p>
        </w:tc>
        <w:tc>
          <w:tcPr>
            <w:tcW w:w="60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结果纠正</w:t>
            </w:r>
          </w:p>
        </w:tc>
        <w:tc>
          <w:tcPr>
            <w:tcW w:w="60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其他结果</w:t>
            </w:r>
          </w:p>
        </w:tc>
        <w:tc>
          <w:tcPr>
            <w:tcW w:w="60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审结</w:t>
            </w:r>
          </w:p>
        </w:tc>
        <w:tc>
          <w:tcPr>
            <w:tcW w:w="6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计</w:t>
            </w:r>
          </w:p>
        </w:tc>
        <w:tc>
          <w:tcPr>
            <w:tcW w:w="2970"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未经复议直接起诉</w:t>
            </w:r>
          </w:p>
        </w:tc>
        <w:tc>
          <w:tcPr>
            <w:tcW w:w="3030" w:type="dxa"/>
            <w:gridSpan w:val="5"/>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blCellSpacing w:w="15" w:type="dxa"/>
        </w:trPr>
        <w:tc>
          <w:tcPr>
            <w:tcW w:w="60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60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60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60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660" w:type="dxa"/>
            <w:vMerge w:val="continue"/>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宋体"/>
                <w:sz w:val="24"/>
                <w:szCs w:val="24"/>
              </w:rPr>
            </w:pPr>
          </w:p>
        </w:tc>
        <w:tc>
          <w:tcPr>
            <w:tcW w:w="5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结果维持</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结果纠正</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审结</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结果维持</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纠正</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其他</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结果</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尚未审结</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ascii="Calibri" w:hAnsi="Calibri" w:cs="Calibri"/>
                <w:sz w:val="19"/>
                <w:szCs w:val="19"/>
              </w:rPr>
              <w:t>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hint="default" w:ascii="Calibri" w:hAnsi="Calibri" w:cs="Calibri"/>
                <w:sz w:val="19"/>
                <w:szCs w:val="19"/>
              </w:rPr>
              <w:t>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default" w:ascii="Calibri" w:hAnsi="Calibri" w:cs="Calibri"/>
                <w:sz w:val="19"/>
                <w:szCs w:val="19"/>
              </w:rPr>
              <w:t> </w:t>
            </w:r>
            <w:r>
              <w:rPr>
                <w:rFonts w:hint="eastAsia" w:ascii="宋体" w:hAnsi="宋体" w:eastAsia="宋体" w:cs="宋体"/>
                <w:sz w:val="19"/>
                <w:szCs w:val="19"/>
              </w:rPr>
              <w:t>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default" w:ascii="Calibri" w:hAnsi="Calibri" w:cs="Calibri"/>
                <w:sz w:val="19"/>
                <w:szCs w:val="19"/>
              </w:rPr>
              <w:t> </w:t>
            </w:r>
            <w:r>
              <w:rPr>
                <w:rFonts w:hint="eastAsia" w:ascii="宋体" w:hAnsi="宋体" w:eastAsia="宋体" w:cs="宋体"/>
                <w:sz w:val="19"/>
                <w:szCs w:val="19"/>
              </w:rPr>
              <w:t>0</w:t>
            </w:r>
          </w:p>
        </w:tc>
        <w:tc>
          <w:tcPr>
            <w:tcW w:w="66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w:t>
            </w:r>
            <w:r>
              <w:rPr>
                <w:rFonts w:hint="default" w:ascii="Calibri" w:hAnsi="Calibri" w:cs="Calibri"/>
                <w:sz w:val="19"/>
                <w:szCs w:val="19"/>
              </w:rPr>
              <w:t> </w:t>
            </w:r>
          </w:p>
        </w:tc>
        <w:tc>
          <w:tcPr>
            <w:tcW w:w="555"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0 </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center"/>
              <w:textAlignment w:val="auto"/>
            </w:pPr>
            <w:r>
              <w:rPr>
                <w:rFonts w:hint="eastAsia" w:ascii="宋体" w:hAnsi="宋体" w:eastAsia="宋体" w:cs="宋体"/>
                <w:sz w:val="19"/>
                <w:szCs w:val="19"/>
              </w:rPr>
              <w:t> 0</w:t>
            </w:r>
          </w:p>
        </w:tc>
        <w:tc>
          <w:tcPr>
            <w:tcW w:w="600" w:type="dxa"/>
            <w:tcBorders>
              <w:top w:val="nil"/>
              <w:left w:val="nil"/>
              <w:bottom w:val="nil"/>
              <w:right w:val="nil"/>
            </w:tcBorders>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rPr>
                <w:rFonts w:hint="eastAsia" w:ascii="宋体" w:hAnsi="宋体" w:eastAsia="宋体" w:cs="宋体"/>
                <w:sz w:val="24"/>
                <w:szCs w:val="24"/>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shd w:val="clear" w:fill="FFFFFF"/>
        </w:rPr>
        <w:t>五、存在的主要问题及改进情况</w:t>
      </w:r>
    </w:p>
    <w:p>
      <w:pPr>
        <w:pStyle w:val="2"/>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rPr>
      </w:pPr>
      <w:r>
        <w:rPr>
          <w:rFonts w:hint="eastAsia" w:ascii="仿宋" w:hAnsi="仿宋" w:eastAsia="仿宋" w:cs="仿宋"/>
          <w:sz w:val="32"/>
          <w:szCs w:val="32"/>
          <w:shd w:val="clear" w:fill="FFFFFF"/>
        </w:rPr>
        <w:t>　　2020年针对上一年存在的问题进行改进，但仍存在一些问题：一是部分人员公开意识有待进一步增强；二是公开主动性还需进一步提高。为此，2021年，我们将采取切实有效措施加以改进：根据政务公开相关规定，进一步健全完善公开工作机制，明确各</w:t>
      </w:r>
      <w:r>
        <w:rPr>
          <w:rFonts w:hint="eastAsia" w:ascii="仿宋" w:hAnsi="仿宋" w:eastAsia="仿宋" w:cs="仿宋"/>
          <w:sz w:val="32"/>
          <w:szCs w:val="32"/>
          <w:shd w:val="clear" w:fill="FFFFFF"/>
          <w:lang w:val="en-US" w:eastAsia="zh-CN"/>
        </w:rPr>
        <w:t>单位</w:t>
      </w:r>
      <w:r>
        <w:rPr>
          <w:rFonts w:hint="eastAsia" w:ascii="仿宋" w:hAnsi="仿宋" w:eastAsia="仿宋" w:cs="仿宋"/>
          <w:sz w:val="32"/>
          <w:szCs w:val="32"/>
          <w:shd w:val="clear" w:fill="FFFFFF"/>
        </w:rPr>
        <w:t>工作任务、责任人等，提高全局工作人员的公开意识。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left="0" w:right="0"/>
        <w:textAlignment w:val="auto"/>
        <w:rPr>
          <w:rFonts w:hint="eastAsia" w:ascii="黑体" w:hAnsi="黑体" w:eastAsia="黑体" w:cs="黑体"/>
          <w:sz w:val="32"/>
          <w:szCs w:val="32"/>
        </w:rPr>
      </w:pPr>
      <w:r>
        <w:rPr>
          <w:rFonts w:hint="eastAsia" w:ascii="仿宋" w:hAnsi="仿宋" w:eastAsia="仿宋" w:cs="仿宋"/>
          <w:sz w:val="32"/>
          <w:szCs w:val="32"/>
          <w:shd w:val="clear" w:fill="FFFFFF"/>
        </w:rPr>
        <w:t>　　</w:t>
      </w:r>
      <w:r>
        <w:rPr>
          <w:rFonts w:hint="eastAsia" w:ascii="黑体" w:hAnsi="黑体" w:eastAsia="黑体" w:cs="黑体"/>
          <w:sz w:val="32"/>
          <w:szCs w:val="32"/>
          <w:shd w:val="clear" w:fill="FFFFFF"/>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left="0" w:right="0"/>
        <w:textAlignment w:val="auto"/>
        <w:rPr>
          <w:rFonts w:hint="eastAsia" w:ascii="仿宋" w:hAnsi="仿宋" w:eastAsia="仿宋" w:cs="仿宋"/>
          <w:sz w:val="32"/>
          <w:szCs w:val="32"/>
          <w:lang w:eastAsia="zh-CN"/>
        </w:rPr>
      </w:pPr>
      <w:r>
        <w:rPr>
          <w:rFonts w:hint="eastAsia" w:ascii="仿宋" w:hAnsi="仿宋" w:eastAsia="仿宋" w:cs="仿宋"/>
          <w:sz w:val="32"/>
          <w:szCs w:val="32"/>
          <w:shd w:val="clear" w:fill="FFFFFF"/>
        </w:rPr>
        <w:t>　　无</w:t>
      </w:r>
      <w:r>
        <w:rPr>
          <w:rFonts w:hint="eastAsia" w:ascii="仿宋" w:hAnsi="仿宋" w:eastAsia="仿宋" w:cs="仿宋"/>
          <w:sz w:val="32"/>
          <w:szCs w:val="32"/>
          <w:shd w:val="clear" w:fill="FFFFFF"/>
          <w:lang w:eastAsia="zh-CN"/>
        </w:rPr>
        <w:t>。</w:t>
      </w:r>
    </w:p>
    <w:p>
      <w:pPr>
        <w:pStyle w:val="2"/>
        <w:keepNext w:val="0"/>
        <w:keepLines w:val="0"/>
        <w:pageBreakBefore w:val="0"/>
        <w:widowControl/>
        <w:suppressLineNumbers w:val="0"/>
        <w:kinsoku/>
        <w:wordWrap/>
        <w:overflowPunct/>
        <w:topLinePunct w:val="0"/>
        <w:autoSpaceDN/>
        <w:bidi w:val="0"/>
        <w:adjustRightInd/>
        <w:snapToGrid/>
        <w:spacing w:before="0" w:beforeAutospacing="0" w:after="0" w:afterAutospacing="0" w:line="240" w:lineRule="auto"/>
        <w:ind w:left="0" w:right="0" w:firstLine="645"/>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right"/>
        <w:textAlignment w:val="auto"/>
        <w:rPr>
          <w:rFonts w:hint="default" w:ascii="仿宋" w:hAnsi="仿宋" w:eastAsia="仿宋" w:cs="仿宋"/>
          <w:spacing w:val="0"/>
          <w:sz w:val="31"/>
          <w:szCs w:val="31"/>
          <w:lang w:val="en-US" w:eastAsia="zh-CN"/>
        </w:rPr>
      </w:pPr>
      <w:r>
        <w:rPr>
          <w:rFonts w:hint="eastAsia" w:ascii="仿宋" w:hAnsi="仿宋" w:eastAsia="仿宋" w:cs="仿宋"/>
          <w:spacing w:val="0"/>
          <w:sz w:val="31"/>
          <w:szCs w:val="31"/>
          <w:lang w:val="en-US" w:eastAsia="zh-CN"/>
        </w:rPr>
        <w:t>张店区市场监管局</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jc w:val="right"/>
        <w:textAlignment w:val="auto"/>
      </w:pPr>
      <w:r>
        <w:rPr>
          <w:rFonts w:hint="eastAsia" w:ascii="仿宋" w:hAnsi="仿宋" w:eastAsia="仿宋" w:cs="仿宋"/>
          <w:spacing w:val="0"/>
          <w:sz w:val="31"/>
          <w:szCs w:val="31"/>
        </w:rPr>
        <w:t>202</w:t>
      </w:r>
      <w:r>
        <w:rPr>
          <w:rFonts w:hint="eastAsia" w:ascii="仿宋" w:hAnsi="仿宋" w:eastAsia="仿宋" w:cs="仿宋"/>
          <w:spacing w:val="0"/>
          <w:sz w:val="31"/>
          <w:szCs w:val="31"/>
          <w:lang w:val="en-US" w:eastAsia="zh-CN"/>
        </w:rPr>
        <w:t>1</w:t>
      </w:r>
      <w:r>
        <w:rPr>
          <w:rFonts w:hint="eastAsia" w:ascii="仿宋" w:hAnsi="仿宋" w:eastAsia="仿宋" w:cs="仿宋"/>
          <w:spacing w:val="0"/>
          <w:sz w:val="31"/>
          <w:szCs w:val="31"/>
        </w:rPr>
        <w:t>年1月</w:t>
      </w:r>
      <w:r>
        <w:rPr>
          <w:rFonts w:hint="eastAsia" w:ascii="仿宋" w:hAnsi="仿宋" w:eastAsia="仿宋" w:cs="仿宋"/>
          <w:spacing w:val="0"/>
          <w:sz w:val="31"/>
          <w:szCs w:val="31"/>
          <w:lang w:val="en-US" w:eastAsia="zh-CN"/>
        </w:rPr>
        <w:t>22</w:t>
      </w:r>
      <w:r>
        <w:rPr>
          <w:rFonts w:hint="eastAsia" w:ascii="仿宋" w:hAnsi="仿宋" w:eastAsia="仿宋" w:cs="仿宋"/>
          <w:spacing w:val="0"/>
          <w:sz w:val="31"/>
          <w:szCs w:val="31"/>
        </w:rPr>
        <w:t>日</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pStyle w:val="2"/>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textAlignment w:val="auto"/>
      </w:pPr>
      <w:r>
        <w:t> </w:t>
      </w:r>
    </w:p>
    <w:p>
      <w:pPr>
        <w:keepNext w:val="0"/>
        <w:keepLines w:val="0"/>
        <w:pageBreakBefore w:val="0"/>
        <w:kinsoku/>
        <w:wordWrap/>
        <w:overflowPunct/>
        <w:topLinePunct w:val="0"/>
        <w:autoSpaceDN/>
        <w:bidi w:val="0"/>
        <w:adjustRightInd/>
        <w:snapToGrid/>
        <w:spacing w:beforeAutospacing="0" w:afterAutospacing="0"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C5CE6"/>
    <w:rsid w:val="044452DA"/>
    <w:rsid w:val="07593304"/>
    <w:rsid w:val="0F223F1B"/>
    <w:rsid w:val="13092BAE"/>
    <w:rsid w:val="146120DE"/>
    <w:rsid w:val="14857EEB"/>
    <w:rsid w:val="150A5CB1"/>
    <w:rsid w:val="151C52B6"/>
    <w:rsid w:val="16623C26"/>
    <w:rsid w:val="179D2C3E"/>
    <w:rsid w:val="1D6E3D23"/>
    <w:rsid w:val="1EAF0C6C"/>
    <w:rsid w:val="23402C7B"/>
    <w:rsid w:val="234D5A78"/>
    <w:rsid w:val="247D1662"/>
    <w:rsid w:val="25812D75"/>
    <w:rsid w:val="29EC7F95"/>
    <w:rsid w:val="2C7C4DDC"/>
    <w:rsid w:val="2EB848E6"/>
    <w:rsid w:val="327702A0"/>
    <w:rsid w:val="339F3E02"/>
    <w:rsid w:val="342941F6"/>
    <w:rsid w:val="374D4E99"/>
    <w:rsid w:val="37765BF4"/>
    <w:rsid w:val="3B9F63F0"/>
    <w:rsid w:val="3F2B061C"/>
    <w:rsid w:val="40073092"/>
    <w:rsid w:val="43494D38"/>
    <w:rsid w:val="451A073D"/>
    <w:rsid w:val="474D4EF9"/>
    <w:rsid w:val="4882098F"/>
    <w:rsid w:val="496120BD"/>
    <w:rsid w:val="49DB4811"/>
    <w:rsid w:val="4D1D0CFA"/>
    <w:rsid w:val="4D544E99"/>
    <w:rsid w:val="4D6F0866"/>
    <w:rsid w:val="4D971FDB"/>
    <w:rsid w:val="4F0C29D3"/>
    <w:rsid w:val="542877C4"/>
    <w:rsid w:val="562630AD"/>
    <w:rsid w:val="5661121D"/>
    <w:rsid w:val="56BC3C04"/>
    <w:rsid w:val="57742C1F"/>
    <w:rsid w:val="58134729"/>
    <w:rsid w:val="5C151230"/>
    <w:rsid w:val="5D1C673E"/>
    <w:rsid w:val="5E8F4E04"/>
    <w:rsid w:val="60714E01"/>
    <w:rsid w:val="616834C1"/>
    <w:rsid w:val="62737D07"/>
    <w:rsid w:val="67ED388E"/>
    <w:rsid w:val="737453B8"/>
    <w:rsid w:val="74BA18EC"/>
    <w:rsid w:val="762C5CE6"/>
    <w:rsid w:val="78BF3EB7"/>
    <w:rsid w:val="799574CA"/>
    <w:rsid w:val="7A494730"/>
    <w:rsid w:val="7B327508"/>
    <w:rsid w:val="7C0646A6"/>
    <w:rsid w:val="7CC54131"/>
    <w:rsid w:val="7EDF6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333333"/>
      <w:u w:val="none"/>
    </w:rPr>
  </w:style>
  <w:style w:type="character" w:styleId="6">
    <w:name w:val="Emphasis"/>
    <w:basedOn w:val="4"/>
    <w:qFormat/>
    <w:uiPriority w:val="0"/>
  </w:style>
  <w:style w:type="character" w:styleId="7">
    <w:name w:val="Hyperlink"/>
    <w:basedOn w:val="4"/>
    <w:qFormat/>
    <w:uiPriority w:val="0"/>
    <w:rPr>
      <w:color w:val="333333"/>
      <w:u w:val="none"/>
    </w:rPr>
  </w:style>
  <w:style w:type="character" w:customStyle="1" w:styleId="8">
    <w:name w:val="gl_news_sz"/>
    <w:basedOn w:val="4"/>
    <w:uiPriority w:val="0"/>
    <w:rPr>
      <w:color w:val="FFFFFF"/>
      <w:shd w:val="clear" w:fill="A32A2A"/>
    </w:rPr>
  </w:style>
  <w:style w:type="character" w:customStyle="1" w:styleId="9">
    <w:name w:val="sjx"/>
    <w:basedOn w:val="4"/>
    <w:qFormat/>
    <w:uiPriority w:val="0"/>
  </w:style>
  <w:style w:type="character" w:customStyle="1" w:styleId="10">
    <w:name w:val="icon014"/>
    <w:basedOn w:val="4"/>
    <w:qFormat/>
    <w:uiPriority w:val="0"/>
    <w:rPr>
      <w:sz w:val="18"/>
      <w:szCs w:val="18"/>
    </w:rPr>
  </w:style>
  <w:style w:type="character" w:customStyle="1" w:styleId="11">
    <w:name w:val="time"/>
    <w:basedOn w:val="4"/>
    <w:qFormat/>
    <w:uiPriority w:val="0"/>
  </w:style>
  <w:style w:type="character" w:customStyle="1" w:styleId="12">
    <w:name w:val="icon024"/>
    <w:basedOn w:val="4"/>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2571</Words>
  <Characters>2721</Characters>
  <Lines>0</Lines>
  <Paragraphs>0</Paragraphs>
  <TotalTime>14</TotalTime>
  <ScaleCrop>false</ScaleCrop>
  <LinksUpToDate>false</LinksUpToDate>
  <CharactersWithSpaces>2959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2020-12-22T05:50:00Z</dcterms:created>
  <dc:creator>imdld</dc:creator>
  <cp:lastModifiedBy>imdld</cp:lastModifiedBy>
  <dcterms:modified xsi:type="dcterms:W3CDTF">2021-01-22T03:08:10Z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