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eastAsia="zh-CN"/>
        </w:rPr>
      </w:pP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张店区审计</w:t>
      </w:r>
      <w:commentRangeStart w:id="0"/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局</w:t>
      </w:r>
      <w:commentRangeEnd w:id="0"/>
      <w:r>
        <w:commentReference w:id="0"/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-17"/>
          <w:sz w:val="44"/>
          <w:szCs w:val="44"/>
          <w:shd w:val="clear" w:color="auto" w:fill="FFFFFF"/>
        </w:rPr>
        <w:t>政府信息公开工作</w:t>
      </w:r>
    </w:p>
    <w:p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333333"/>
          <w:spacing w:val="0"/>
          <w:sz w:val="44"/>
          <w:szCs w:val="44"/>
          <w:shd w:val="clear" w:color="auto" w:fill="FFFFFF"/>
        </w:rPr>
        <w:t>年度报告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right="0" w:firstLine="640" w:firstLineChars="200"/>
        <w:jc w:val="left"/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本年度报告中所列数据的统计期限自202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年1月1日起，至202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lang w:eastAsia="zh-CN"/>
        </w:rPr>
        <w:t>年12月31日止。如对报告内容有疑问，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请与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张店区审计局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联系（地址：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淄博市张店区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</w:rPr>
        <w:t>新村西路228号区检察院大楼六楼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；邮编：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255000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0533-2288152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；电子邮箱：</w:t>
      </w:r>
      <w:r>
        <w:rPr>
          <w:rFonts w:hint="default" w:ascii="Times New Roman" w:hAnsi="Times New Roman" w:eastAsia="仿宋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zdqsjjadmin@zb.shandong.cn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i w:val="0"/>
          <w:caps w:val="0"/>
          <w:color w:val="333333"/>
          <w:spacing w:val="0"/>
          <w:sz w:val="32"/>
          <w:szCs w:val="32"/>
        </w:rPr>
      </w:pPr>
      <w:r>
        <w:rPr>
          <w:rFonts w:hint="eastAsia" w:ascii="黑体" w:hAnsi="黑体" w:eastAsia="黑体" w:cs="黑体"/>
          <w:b/>
          <w:i w:val="0"/>
          <w:caps w:val="0"/>
          <w:color w:val="333333"/>
          <w:spacing w:val="0"/>
          <w:sz w:val="32"/>
          <w:szCs w:val="32"/>
          <w:shd w:val="clear" w:color="auto" w:fill="FFFFFF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2024年，张店区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审计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局认真贯彻落实区委区政府“营商环境提升年”决策部署，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立足经济监督定位，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严格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履行审计监督职能，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做到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以高质量审计监督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护航全区</w:t>
      </w: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经济社会高质量发展。</w:t>
      </w:r>
    </w:p>
    <w:p>
      <w:pPr>
        <w:numPr>
          <w:ilvl w:val="0"/>
          <w:numId w:val="1"/>
        </w:numPr>
        <w:spacing w:line="240" w:lineRule="auto"/>
        <w:ind w:firstLine="42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  <w:commentReference w:id="1"/>
      </w:r>
      <w:bookmarkStart w:id="0" w:name="OLE_LINK1"/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主动公开方面。2024年，我局加大信息公开力度，全方位展现全局党的建设、作风建设、审计工作进展、审计经验以及精神文明建设等方面的情况。及时发布审计要闻类新闻，积极梳理工作成果与创新之举，并持续更新重要工作动态。加强审计结果的透明度，确保审计监督与社会监督的有效结合，共同推进审计工作的高质量发展。</w:t>
      </w:r>
    </w:p>
    <w:bookmarkEnd w:id="0"/>
    <w:p>
      <w:pPr>
        <w:numPr>
          <w:ilvl w:val="0"/>
          <w:numId w:val="0"/>
        </w:num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.依申请公开工作方面。对依申请公开实施全流程管理，依法依规予以答复。安排专人管理依申请公开办件系统，第一时间进行办理；重视答复专业性，根据所需公开信息类别，明确责任科室，提供专业答复；实时催促督办，办公室及时督促工作进度，确保按时答复；加强信息审核，分管领导亲自把关，对回复信息进行合法性审查。2024年，张店区审计局收到政府信息公开申请1件，均依法依规予以答复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3.政府信息管理方面。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严格落实信息发布审核制度，在公开政府信息前，对拟公开的信息实行“三审三校”以及保密审查程序，确保涉密信息不公开、公开信息不涉密。及时调整完善政府信息主动公开目录，确保目录内容定期更新维护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600" w:lineRule="atLeast"/>
        <w:ind w:left="0" w:right="0" w:firstLine="640"/>
        <w:jc w:val="both"/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4.平台建设方面。</w:t>
      </w:r>
      <w:r>
        <w:rPr>
          <w:rFonts w:hint="default" w:ascii="Times New Roman" w:hAnsi="Times New Roman" w:eastAsia="仿宋_GB2312" w:cs="Times New Roman"/>
          <w:color w:val="000000" w:themeColor="text1"/>
          <w:kern w:val="2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2024年我局持续加强网站建设，进一步规范与完善政府信息公开平台。一是及时梳理政府信息主动公开基本目录，并逐一进行优化调整，确保公开内容在指定栏目下公开，提高信息搜索准度。二是落实专人负责平台日常管理与维护工作，确保网站运行安全有效、公开信息及时准确。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5.监督保障方面。</w:t>
      </w:r>
      <w:r>
        <w:rPr>
          <w:rFonts w:hint="default" w:ascii="Times New Roman" w:hAnsi="Times New Roman" w:eastAsia="仿宋_GB2312" w:cs="Times New Roman"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根据人员变动和工作分工，及时调整政务公开工作领导小组及办公室成员。年内召开2次局党组会议、2次政务公开领导小组会议进行专题研究。加大政务公开培训力度，对新入职人员，各科室政务公开联络员进行重点培训，及时传达重要文件精神，交流工作经验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000000" w:themeColor="text1"/>
          <w:spacing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二、主动公开政府信息情况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sz w:val="32"/>
          <w:szCs w:val="32"/>
          <w:shd w:val="clear" w:color="auto" w:fill="FFFFFF"/>
          <w:lang w:eastAsia="zh-CN"/>
        </w:rPr>
      </w:pPr>
    </w:p>
    <w:tbl>
      <w:tblPr>
        <w:tblStyle w:val="5"/>
        <w:tblW w:w="8824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06"/>
        <w:gridCol w:w="2206"/>
        <w:gridCol w:w="2206"/>
        <w:gridCol w:w="220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第二十条第（一）项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本年制发件数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本年废止件数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现行有效件数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规章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Calibri" w:eastAsia="仿宋_GB2312" w:cs="Calibri"/>
                <w:color w:val="FF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行政规范性文件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  <w:tc>
          <w:tcPr>
            <w:tcW w:w="22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第二十条第（五）项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行政许可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tabs>
                <w:tab w:val="center" w:pos="3201"/>
              </w:tabs>
              <w:jc w:val="left"/>
              <w:rPr>
                <w:rFonts w:hint="default" w:ascii="仿宋_GB2312" w:hAnsi="Calibri" w:eastAsia="仿宋_GB2312" w:cs="Calibri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FF0000"/>
                <w:kern w:val="0"/>
                <w:szCs w:val="21"/>
                <w:lang w:val="en-US" w:eastAsia="zh-CN"/>
              </w:rPr>
              <w:tab/>
            </w:r>
            <w:r>
              <w:rPr>
                <w:rFonts w:hint="eastAsia" w:ascii="仿宋_GB2312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第二十条第（六）项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本年处理决定数量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行政处罚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tabs>
                <w:tab w:val="left" w:pos="2684"/>
              </w:tabs>
              <w:jc w:val="center"/>
              <w:rPr>
                <w:rFonts w:hint="default" w:ascii="仿宋_GB2312" w:hAnsi="Calibri" w:eastAsia="仿宋_GB2312" w:cs="Calibri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行政强制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tabs>
                <w:tab w:val="center" w:pos="3201"/>
              </w:tabs>
              <w:jc w:val="center"/>
              <w:rPr>
                <w:rFonts w:hint="default" w:ascii="仿宋_GB2312" w:hAnsi="Calibri" w:eastAsia="仿宋_GB2312" w:cs="Calibri"/>
                <w:color w:val="FF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824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000000" w:fill="C6D9F1"/>
            <w:noWrap w:val="0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Cs w:val="21"/>
              </w:rPr>
              <w:t>第二十条第（八）项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信息内容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本年收费金额（单位：万元）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20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Cs w:val="21"/>
              </w:rPr>
              <w:t>行政事业性收费</w:t>
            </w:r>
          </w:p>
        </w:tc>
        <w:tc>
          <w:tcPr>
            <w:tcW w:w="6618" w:type="dxa"/>
            <w:gridSpan w:val="3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_GB2312" w:hAnsi="Calibri" w:eastAsia="仿宋_GB2312" w:cs="Calibri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仿宋_GB2312" w:eastAsia="仿宋_GB2312" w:cs="Calibri"/>
                <w:color w:val="FF0000"/>
                <w:kern w:val="0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三、收到和处理政府信息公开申请情况</w:t>
      </w:r>
    </w:p>
    <w:tbl>
      <w:tblPr>
        <w:tblStyle w:val="5"/>
        <w:tblW w:w="9541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16"/>
        <w:gridCol w:w="1701"/>
        <w:gridCol w:w="2976"/>
        <w:gridCol w:w="747"/>
        <w:gridCol w:w="5"/>
        <w:gridCol w:w="535"/>
        <w:gridCol w:w="5"/>
        <w:gridCol w:w="535"/>
        <w:gridCol w:w="720"/>
        <w:gridCol w:w="675"/>
        <w:gridCol w:w="525"/>
        <w:gridCol w:w="1"/>
        <w:gridCol w:w="7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  <w:jc w:val="center"/>
        </w:trPr>
        <w:tc>
          <w:tcPr>
            <w:tcW w:w="5093" w:type="dxa"/>
            <w:gridSpan w:val="3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楷体_GB2312" w:hAnsi="黑体" w:eastAsia="楷体_GB2312"/>
                <w:kern w:val="0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（本列数据的勾稽关系为：第一项加第二项之和，</w:t>
            </w:r>
          </w:p>
          <w:p>
            <w:pPr>
              <w:widowControl/>
              <w:jc w:val="center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楷体_GB2312" w:hAnsi="黑体" w:eastAsia="楷体_GB2312"/>
                <w:kern w:val="0"/>
                <w:szCs w:val="21"/>
              </w:rPr>
              <w:t>等于第三项加第四项之和）</w:t>
            </w:r>
          </w:p>
        </w:tc>
        <w:tc>
          <w:tcPr>
            <w:tcW w:w="4448" w:type="dxa"/>
            <w:gridSpan w:val="10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申请人情况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5" w:hRule="atLeast"/>
          <w:jc w:val="center"/>
        </w:trPr>
        <w:tc>
          <w:tcPr>
            <w:tcW w:w="5093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自然人</w:t>
            </w:r>
          </w:p>
        </w:tc>
        <w:tc>
          <w:tcPr>
            <w:tcW w:w="3000" w:type="dxa"/>
            <w:gridSpan w:val="7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法人或其他组织</w:t>
            </w:r>
          </w:p>
        </w:tc>
        <w:tc>
          <w:tcPr>
            <w:tcW w:w="701" w:type="dxa"/>
            <w:gridSpan w:val="2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5093" w:type="dxa"/>
            <w:gridSpan w:val="3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  <w:tc>
          <w:tcPr>
            <w:tcW w:w="747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商业企业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科研机构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7" w:leftChars="-51" w:right="-107" w:rightChars="-5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社会公益组织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ind w:left="-106" w:leftChars="-51" w:right="-107" w:rightChars="-51" w:hanging="1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法律服务机构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ind w:left="-63" w:leftChars="-30" w:right="-134" w:rightChars="-64"/>
              <w:jc w:val="center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其他</w:t>
            </w:r>
          </w:p>
        </w:tc>
        <w:tc>
          <w:tcPr>
            <w:tcW w:w="701" w:type="dxa"/>
            <w:gridSpan w:val="2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仿宋_GB2312" w:hAnsi="Times New Roman" w:eastAsia="仿宋_GB2312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一、</w:t>
            </w:r>
            <w:bookmarkStart w:id="1" w:name="_Hlk66973412"/>
            <w:r>
              <w:rPr>
                <w:rFonts w:hint="eastAsia" w:ascii="黑体" w:hAnsi="黑体" w:eastAsia="黑体"/>
                <w:kern w:val="0"/>
                <w:szCs w:val="21"/>
              </w:rPr>
              <w:t>本年新收政府信息公开申请数量</w:t>
            </w:r>
            <w:bookmarkEnd w:id="1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default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" w:hRule="atLeast"/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二、上年结转政府信息公开申请数量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三、本年度办理结果</w:t>
            </w: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（一）予以公开</w:t>
            </w:r>
          </w:p>
        </w:tc>
        <w:tc>
          <w:tcPr>
            <w:tcW w:w="752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（二）部分公开（</w:t>
            </w:r>
            <w:bookmarkStart w:id="2" w:name="_Hlk66973981"/>
            <w:r>
              <w:rPr>
                <w:rFonts w:hint="eastAsia" w:ascii="黑体" w:hAnsi="黑体" w:eastAsia="黑体"/>
                <w:kern w:val="0"/>
                <w:szCs w:val="21"/>
              </w:rPr>
              <w:t>区分处理的，只计这一情形，不计其他情形</w:t>
            </w:r>
            <w:bookmarkEnd w:id="2"/>
            <w:r>
              <w:rPr>
                <w:rFonts w:hint="eastAsia" w:ascii="黑体" w:hAnsi="黑体" w:eastAsia="黑体"/>
                <w:kern w:val="0"/>
                <w:szCs w:val="21"/>
              </w:rPr>
              <w:t>）</w:t>
            </w:r>
          </w:p>
        </w:tc>
        <w:tc>
          <w:tcPr>
            <w:tcW w:w="752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3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6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（三）不予公开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1.属于国家秘密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3" w:name="_Hlk66974104"/>
            <w:r>
              <w:rPr>
                <w:rFonts w:hint="eastAsia" w:ascii="仿宋_GB2312" w:hAnsi="黑体" w:eastAsia="仿宋_GB2312"/>
                <w:kern w:val="0"/>
                <w:szCs w:val="21"/>
              </w:rPr>
              <w:t>其他法律行政法规禁止公开</w:t>
            </w:r>
            <w:bookmarkEnd w:id="3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3.危及“三安全一稳定”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</w:t>
            </w:r>
            <w:bookmarkStart w:id="4" w:name="_Hlk66974290"/>
            <w:r>
              <w:rPr>
                <w:rFonts w:hint="eastAsia" w:ascii="仿宋_GB2312" w:hAnsi="黑体" w:eastAsia="仿宋_GB2312"/>
                <w:kern w:val="0"/>
                <w:szCs w:val="21"/>
              </w:rPr>
              <w:t>保护第三方合法权益</w:t>
            </w:r>
            <w:bookmarkEnd w:id="4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5.属于三类内部事务信息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6.</w:t>
            </w:r>
            <w:bookmarkStart w:id="5" w:name="_Hlk66974555"/>
            <w:r>
              <w:rPr>
                <w:rFonts w:hint="eastAsia" w:ascii="仿宋_GB2312" w:hAnsi="黑体" w:eastAsia="仿宋_GB2312"/>
                <w:kern w:val="0"/>
                <w:szCs w:val="21"/>
              </w:rPr>
              <w:t>属于四类过程性信息</w:t>
            </w:r>
            <w:bookmarkEnd w:id="5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7.属于行政执法案卷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8.</w:t>
            </w:r>
            <w:bookmarkStart w:id="6" w:name="_Hlk66975211"/>
            <w:r>
              <w:rPr>
                <w:rFonts w:hint="eastAsia" w:ascii="仿宋_GB2312" w:hAnsi="黑体" w:eastAsia="仿宋_GB2312"/>
                <w:kern w:val="0"/>
                <w:szCs w:val="21"/>
              </w:rPr>
              <w:t>属于行政查询事项</w:t>
            </w:r>
            <w:bookmarkEnd w:id="6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（四）无法提供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1.本机关不掌握相关政府信息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</w:t>
            </w:r>
            <w:bookmarkStart w:id="7" w:name="_Hlk66975392"/>
            <w:r>
              <w:rPr>
                <w:rFonts w:hint="eastAsia" w:ascii="仿宋_GB2312" w:hAnsi="黑体" w:eastAsia="仿宋_GB2312"/>
                <w:kern w:val="0"/>
                <w:szCs w:val="21"/>
              </w:rPr>
              <w:t>没有现成信息需要另行制作</w:t>
            </w:r>
            <w:bookmarkEnd w:id="7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</w:t>
            </w:r>
            <w:bookmarkStart w:id="8" w:name="_Hlk66975466"/>
            <w:r>
              <w:rPr>
                <w:rFonts w:hint="eastAsia" w:ascii="仿宋_GB2312" w:hAnsi="黑体" w:eastAsia="仿宋_GB2312"/>
                <w:kern w:val="0"/>
                <w:szCs w:val="21"/>
              </w:rPr>
              <w:t>补正后申请内容仍不明确</w:t>
            </w:r>
            <w:bookmarkEnd w:id="8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ind w:left="-107" w:leftChars="-51"/>
              <w:rPr>
                <w:rFonts w:ascii="黑体" w:hAnsi="黑体" w:eastAsia="黑体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（五）不予处理</w:t>
            </w: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1.</w:t>
            </w:r>
            <w:bookmarkStart w:id="9" w:name="_Hlk66975537"/>
            <w:r>
              <w:rPr>
                <w:rFonts w:hint="eastAsia" w:ascii="仿宋_GB2312" w:hAnsi="黑体" w:eastAsia="仿宋_GB2312"/>
                <w:kern w:val="0"/>
                <w:szCs w:val="21"/>
              </w:rPr>
              <w:t>信访举报投诉类申请</w:t>
            </w:r>
            <w:bookmarkEnd w:id="9"/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2.重复申请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3.要求提供公开出版物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200" w:lineRule="exact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4.无正当理由大量反复申请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spacing w:line="200" w:lineRule="exact"/>
              <w:rPr>
                <w:rFonts w:ascii="黑体" w:hAnsi="黑体" w:eastAsia="黑体"/>
                <w:szCs w:val="21"/>
              </w:rPr>
            </w:pPr>
          </w:p>
        </w:tc>
        <w:tc>
          <w:tcPr>
            <w:tcW w:w="2976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5.要求行政机关确认或重新</w:t>
            </w:r>
          </w:p>
          <w:p>
            <w:pPr>
              <w:widowControl/>
              <w:spacing w:line="300" w:lineRule="exact"/>
              <w:ind w:firstLine="210" w:firstLineChars="100"/>
              <w:rPr>
                <w:rFonts w:ascii="仿宋_GB2312" w:hAnsi="黑体" w:eastAsia="仿宋_GB2312"/>
                <w:szCs w:val="21"/>
              </w:rPr>
            </w:pPr>
            <w:r>
              <w:rPr>
                <w:rFonts w:hint="eastAsia" w:ascii="仿宋_GB2312" w:hAnsi="黑体" w:eastAsia="仿宋_GB2312"/>
                <w:kern w:val="0"/>
                <w:szCs w:val="21"/>
              </w:rPr>
              <w:t>出具已获取信息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restart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（六）其他处理</w:t>
            </w:r>
          </w:p>
        </w:tc>
        <w:tc>
          <w:tcPr>
            <w:tcW w:w="2976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楷体" w:eastAsia="仿宋_GB2312"/>
              </w:rPr>
            </w:pPr>
            <w:r>
              <w:rPr>
                <w:rFonts w:hint="eastAsia" w:ascii="仿宋_GB2312" w:hAnsi="楷体" w:eastAsia="仿宋_GB2312"/>
              </w:rPr>
              <w:t>1.申请人无正当理由逾期不补正、行政机关不再处理其政府信息公开申请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2.申请人逾期未按收费通知要求缴纳费用、行政机关不再处理其政府信息公开申请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1701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</w:p>
        </w:tc>
        <w:tc>
          <w:tcPr>
            <w:tcW w:w="2976" w:type="dxa"/>
            <w:noWrap w:val="0"/>
            <w:vAlign w:val="center"/>
          </w:tcPr>
          <w:p>
            <w:pPr>
              <w:widowControl/>
              <w:spacing w:line="300" w:lineRule="exact"/>
              <w:rPr>
                <w:rFonts w:ascii="仿宋_GB2312" w:hAnsi="黑体" w:eastAsia="仿宋_GB2312"/>
                <w:kern w:val="0"/>
                <w:szCs w:val="21"/>
              </w:rPr>
            </w:pPr>
            <w:r>
              <w:rPr>
                <w:rFonts w:hint="eastAsia" w:ascii="仿宋_GB2312" w:hAnsi="楷体" w:eastAsia="仿宋_GB2312"/>
              </w:rPr>
              <w:t>3.其他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416" w:type="dxa"/>
            <w:vMerge w:val="continue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Cs w:val="21"/>
              </w:rPr>
            </w:pPr>
          </w:p>
        </w:tc>
        <w:tc>
          <w:tcPr>
            <w:tcW w:w="4677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（七）总计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1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5093" w:type="dxa"/>
            <w:gridSpan w:val="3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kern w:val="0"/>
                <w:szCs w:val="21"/>
              </w:rPr>
            </w:pPr>
            <w:r>
              <w:rPr>
                <w:rFonts w:hint="eastAsia" w:ascii="黑体" w:hAnsi="黑体" w:eastAsia="黑体"/>
                <w:kern w:val="0"/>
                <w:szCs w:val="21"/>
              </w:rPr>
              <w:t>四、结转下年度继续办理</w:t>
            </w:r>
          </w:p>
        </w:tc>
        <w:tc>
          <w:tcPr>
            <w:tcW w:w="747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40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20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67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525" w:type="dxa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szCs w:val="21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  <w:tc>
          <w:tcPr>
            <w:tcW w:w="701" w:type="dxa"/>
            <w:gridSpan w:val="2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outlineLvl w:val="9"/>
              <w:rPr>
                <w:rFonts w:ascii="仿宋_GB2312" w:hAnsi="Times New Roman" w:eastAsia="仿宋_GB2312"/>
                <w:color w:val="FF0000"/>
                <w:szCs w:val="21"/>
                <w:lang w:val="en-US"/>
              </w:rPr>
            </w:pPr>
            <w:r>
              <w:rPr>
                <w:rFonts w:hint="eastAsia" w:ascii="仿宋_GB2312" w:hAnsi="Times New Roman" w:eastAsia="仿宋_GB2312"/>
                <w:color w:val="FF0000"/>
                <w:szCs w:val="21"/>
                <w:lang w:val="en-US" w:eastAsia="zh-CN"/>
              </w:rPr>
              <w:t>0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四、政府信息公开行政复议、行政诉讼情况</w:t>
      </w:r>
    </w:p>
    <w:tbl>
      <w:tblPr>
        <w:tblStyle w:val="5"/>
        <w:tblW w:w="9071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4"/>
        <w:gridCol w:w="604"/>
        <w:gridCol w:w="604"/>
        <w:gridCol w:w="604"/>
        <w:gridCol w:w="658"/>
        <w:gridCol w:w="550"/>
        <w:gridCol w:w="605"/>
        <w:gridCol w:w="605"/>
        <w:gridCol w:w="605"/>
        <w:gridCol w:w="605"/>
        <w:gridCol w:w="605"/>
        <w:gridCol w:w="605"/>
        <w:gridCol w:w="605"/>
        <w:gridCol w:w="606"/>
        <w:gridCol w:w="60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3074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行政复议</w:t>
            </w:r>
          </w:p>
        </w:tc>
        <w:tc>
          <w:tcPr>
            <w:tcW w:w="5997" w:type="dxa"/>
            <w:gridSpan w:val="10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行政诉讼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7" w:hRule="atLeast"/>
          <w:jc w:val="center"/>
        </w:trPr>
        <w:tc>
          <w:tcPr>
            <w:tcW w:w="604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49" w:leftChars="-71" w:right="-170" w:rightChars="-8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维持</w:t>
            </w:r>
          </w:p>
        </w:tc>
        <w:tc>
          <w:tcPr>
            <w:tcW w:w="60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43" w:leftChars="-21" w:right="-132" w:rightChars="-63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2" w:leftChars="-39" w:right="-97" w:rightChars="-4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其他结果</w:t>
            </w:r>
          </w:p>
        </w:tc>
        <w:tc>
          <w:tcPr>
            <w:tcW w:w="604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18" w:leftChars="-56" w:right="-118" w:rightChars="-56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</w:t>
            </w:r>
          </w:p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计</w:t>
            </w:r>
          </w:p>
        </w:tc>
        <w:tc>
          <w:tcPr>
            <w:tcW w:w="2970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未经复议直接起诉</w:t>
            </w:r>
          </w:p>
        </w:tc>
        <w:tc>
          <w:tcPr>
            <w:tcW w:w="3027" w:type="dxa"/>
            <w:gridSpan w:val="5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bookmarkStart w:id="10" w:name="_Hlk67039688"/>
            <w:r>
              <w:rPr>
                <w:rFonts w:ascii="黑体" w:hAnsi="黑体" w:eastAsia="黑体"/>
                <w:kern w:val="0"/>
                <w:sz w:val="20"/>
                <w:szCs w:val="20"/>
              </w:rPr>
              <w:t>复议后起诉</w:t>
            </w:r>
            <w:bookmarkEnd w:id="10"/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6" w:hRule="atLeast"/>
          <w:jc w:val="center"/>
        </w:trPr>
        <w:tc>
          <w:tcPr>
            <w:tcW w:w="604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04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6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黑体" w:hAnsi="黑体" w:eastAsia="黑体"/>
                <w:sz w:val="24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05" w:leftChars="-50" w:right="-126" w:rightChars="-60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86" w:leftChars="-41" w:right="-88" w:rightChars="-42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26" w:leftChars="-60" w:right="-136" w:rightChars="-65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</w:t>
            </w:r>
          </w:p>
          <w:p>
            <w:pPr>
              <w:widowControl/>
              <w:ind w:left="-164" w:leftChars="-78" w:right="-153" w:rightChars="-73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审结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99" w:leftChars="-47" w:right="-78" w:rightChars="-37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结果维持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  <w:p>
            <w:pPr>
              <w:widowControl/>
              <w:ind w:left="-136" w:leftChars="-65" w:right="-124" w:rightChars="-59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纠正</w:t>
            </w:r>
          </w:p>
        </w:tc>
        <w:tc>
          <w:tcPr>
            <w:tcW w:w="60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  <w:kern w:val="0"/>
                <w:sz w:val="20"/>
                <w:szCs w:val="20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其他</w:t>
            </w:r>
          </w:p>
          <w:p>
            <w:pPr>
              <w:widowControl/>
              <w:ind w:left="-173" w:leftChars="-83" w:right="-134" w:rightChars="-64" w:hanging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结果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ind w:left="-67" w:leftChars="-33" w:right="-105" w:rightChars="-50" w:hanging="2" w:hangingChars="1"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尚未审结</w:t>
            </w:r>
          </w:p>
        </w:tc>
        <w:tc>
          <w:tcPr>
            <w:tcW w:w="60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</w:rPr>
            </w:pPr>
            <w:r>
              <w:rPr>
                <w:rFonts w:ascii="黑体" w:hAnsi="黑体" w:eastAsia="黑体"/>
                <w:kern w:val="0"/>
                <w:sz w:val="20"/>
                <w:szCs w:val="20"/>
              </w:rPr>
              <w:t>总计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0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hint="eastAsia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5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  <w:tc>
          <w:tcPr>
            <w:tcW w:w="60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after="180"/>
              <w:jc w:val="center"/>
              <w:rPr>
                <w:rFonts w:ascii="Times New Roman" w:hAnsi="Times New Roman"/>
              </w:rPr>
            </w:pPr>
            <w:r>
              <w:rPr>
                <w:rFonts w:hint="eastAsia" w:ascii="Times New Roman" w:hAnsi="Times New Roman"/>
                <w:lang w:val="en-US" w:eastAsia="zh-CN"/>
              </w:rPr>
              <w:t>0</w:t>
            </w:r>
          </w:p>
        </w:tc>
      </w:tr>
    </w:tbl>
    <w:p>
      <w:pPr>
        <w:widowControl/>
        <w:jc w:val="left"/>
        <w:rPr>
          <w:rFonts w:hint="eastAsia" w:ascii="仿宋_GB2312" w:hAnsi="Calibri" w:eastAsia="仿宋_GB2312" w:cs="Calibri"/>
          <w:color w:val="FF0000"/>
          <w:kern w:val="0"/>
          <w:szCs w:val="21"/>
          <w:lang w:val="en-US" w:eastAsia="zh-CN"/>
        </w:rPr>
      </w:pP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五、存在的主要问题及改进情况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2024年我局政府信息公开工作较以往有了较大进步和提升，但仍存在一些短板和不足。一是公开信息的时效性有待进一步提升，信息产生科室与信息公开科室的对接不够及时，对于动态工作发布的时效性仍需加强重视。二是日常监督检查的主动性不够，对已公开信息维护不及时，“回头看”整改工作不够及时。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针对存在问题</w:t>
      </w: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重点做</w:t>
      </w:r>
      <w:r>
        <w:rPr>
          <w:rFonts w:hint="eastAsia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了</w:t>
      </w:r>
      <w:bookmarkStart w:id="11" w:name="_GoBack"/>
      <w:bookmarkEnd w:id="11"/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以下举措：一是强化科室间沟通对接，对主动公开信息明确信息发布的时间节点要求，确保信息公开的及时性；二是健全政务公开日常监督机制，常态化检查公开内容，确保政务公开信息准确无误。</w:t>
      </w:r>
    </w:p>
    <w:p>
      <w:pPr>
        <w:pStyle w:val="4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default" w:ascii="Times New Roman" w:hAnsi="Times New Roman" w:eastAsia="黑体" w:cs="Times New Roman"/>
          <w:b w:val="0"/>
          <w:bCs/>
          <w:i w:val="0"/>
          <w:caps w:val="0"/>
          <w:color w:val="333333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其他需要报告的事项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1、依据《政府信息公开信息处理费管理办法》收取信息处理费的情况。2024年本单位未收取依申请公开信息处理费。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2、本年度人大代表建议和政协委员提案办理情况。2024年本单位收到政协委员提案1件，建议提案办结率100%，满意率100%。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3、本单位在政务公开制度、内容、形式和平台建设方面的创新实践情况。完善政务信息工作体系，为政务公开提供制度保障；利用政府网站平台向公众发布政策文件及重点领域信息，确保信息传递的精确与高效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right="0" w:firstLine="640" w:firstLineChars="20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  <w:t>4、《2024年张店区政务公开工作方案》落实情况。一是增强组织领导，2024年本单位通过专题会议等形式，深入听取政务公开工作汇报，并着力解决关键难题；二是进行专业化培训，根据政务公开工作方案的具体要求，系统开展相关培训，提升工作人员专业技能；三是严格执行整改，按照上级部门的工作指示，全面总结政府信息公开中存在的问题，逐一制定整改措施，确保每项任务都有明确责任人。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/>
        <w:ind w:left="0" w:right="0" w:firstLine="420"/>
        <w:jc w:val="both"/>
        <w:rPr>
          <w:rFonts w:hint="default" w:ascii="Times New Roman" w:hAnsi="Times New Roman" w:eastAsia="仿宋_GB2312" w:cs="Times New Roman"/>
          <w:i w:val="0"/>
          <w:caps w:val="0"/>
          <w:color w:val="000000"/>
          <w:spacing w:val="0"/>
          <w:sz w:val="32"/>
          <w:szCs w:val="32"/>
          <w:shd w:val="clear" w:color="auto" w:fill="FFFFFF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zwgkb" w:date="2024-01-03T16:59:00Z" w:initials="z">
    <w:p w14:paraId="21F63087">
      <w:pPr>
        <w:pStyle w:val="3"/>
        <w:rPr>
          <w:rFonts w:hint="eastAsia" w:eastAsia="宋体"/>
          <w:lang w:eastAsia="zh-CN"/>
        </w:rPr>
      </w:pPr>
      <w:r>
        <w:rPr>
          <w:rFonts w:hint="eastAsia"/>
          <w:lang w:eastAsia="zh-CN"/>
        </w:rPr>
        <w:t>本单位规范名称全称</w:t>
      </w:r>
    </w:p>
  </w:comment>
  <w:comment w:id="1" w:author="zwgkb" w:date="2024-01-03T17:04:00Z" w:initials="z">
    <w:p w14:paraId="0F22606F">
      <w:pPr>
        <w:pStyle w:val="3"/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此部分概述本机关2024年度政府信息公开工作总体情况即《条例》贯彻落实情况，100字左右。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1F63087" w15:done="0"/>
  <w15:commentEx w15:paraId="0F22606F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PingFang SC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DDF3A3"/>
    <w:multiLevelType w:val="singleLevel"/>
    <w:tmpl w:val="07DDF3A3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9F0F9B"/>
    <w:multiLevelType w:val="singleLevel"/>
    <w:tmpl w:val="4B9F0F9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zwgkb">
    <w15:presenceInfo w15:providerId="None" w15:userId="zwgk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revisionView w:markup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hZTlmY2E0NDJjZWFjYWMyZDRkNDg4ZWQyMzljMDIifQ=="/>
  </w:docVars>
  <w:rsids>
    <w:rsidRoot w:val="BFFD40AB"/>
    <w:rsid w:val="11EF47C8"/>
    <w:rsid w:val="1CE70CF7"/>
    <w:rsid w:val="37AF406D"/>
    <w:rsid w:val="3B2B62A3"/>
    <w:rsid w:val="3CDF5EAA"/>
    <w:rsid w:val="3F7B114B"/>
    <w:rsid w:val="434D75FE"/>
    <w:rsid w:val="49261CBB"/>
    <w:rsid w:val="52C527B7"/>
    <w:rsid w:val="5A7E73AE"/>
    <w:rsid w:val="5DA8BE55"/>
    <w:rsid w:val="6BE2ED13"/>
    <w:rsid w:val="7D3B1177"/>
    <w:rsid w:val="7EFB1C05"/>
    <w:rsid w:val="AE78EF6B"/>
    <w:rsid w:val="BFFD40AB"/>
    <w:rsid w:val="FCBD1E7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uiPriority w:val="0"/>
    <w:pPr>
      <w:jc w:val="left"/>
    </w:p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2426</Words>
  <Characters>2791</Characters>
  <Lines>0</Lines>
  <Paragraphs>0</Paragraphs>
  <TotalTime>98</TotalTime>
  <ScaleCrop>false</ScaleCrop>
  <LinksUpToDate>false</LinksUpToDate>
  <CharactersWithSpaces>2830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2024-01-04T08:57:00Z</dcterms:created>
  <dc:creator>zwgkb</dc:creator>
  <cp:lastModifiedBy>hp</cp:lastModifiedBy>
  <cp:lastPrinted>2025-01-23T02:25:48Z</cp:lastPrinted>
  <dcterms:modified xsi:type="dcterms:W3CDTF">2025-01-23T05:53:42Z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852AE87FDE8D49A0985277BB014CA5E1_13</vt:lpwstr>
  </property>
</Properties>
</file>