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highlight w:val="none"/>
        </w:rPr>
        <w:t> 张店区</w:t>
      </w: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highlight w:val="none"/>
          <w:lang w:eastAsia="zh-CN"/>
        </w:rPr>
        <w:t>商务局</w:t>
      </w: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highlight w:val="none"/>
        </w:rPr>
        <w:t>202</w:t>
      </w: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highlight w:val="none"/>
          <w:lang w:val="en-US" w:eastAsia="zh-CN"/>
        </w:rPr>
        <w:t>1</w:t>
      </w: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highlight w:val="none"/>
        </w:rPr>
        <w:t>年政府信息公开年报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highlight w:val="none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highlight w:val="none"/>
          <w:shd w:val="clear" w:color="auto" w:fill="FFFFFF"/>
        </w:rPr>
        <w:t>202</w:t>
      </w:r>
      <w:r>
        <w:rPr>
          <w:rFonts w:hint="eastAsia" w:ascii="仿宋_GB2312" w:eastAsia="仿宋_GB2312" w:cs="宋体"/>
          <w:color w:val="auto"/>
          <w:kern w:val="0"/>
          <w:sz w:val="32"/>
          <w:szCs w:val="32"/>
          <w:highlight w:val="none"/>
          <w:shd w:val="clear" w:color="auto" w:fill="FFFFFF"/>
          <w:lang w:val="en-US" w:eastAsia="zh-CN"/>
        </w:rPr>
        <w:t>1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highlight w:val="none"/>
          <w:shd w:val="clear" w:color="auto" w:fill="FFFFFF"/>
        </w:rPr>
        <w:t>年张店区商务局高度重视政府信息公开工作，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以习近平新时代中国特色社会主义思想为指导,全面贯彻党的十九大和十九届二中、三中、四中、五中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、六中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全会精神,认真落实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《2021年张店区政务公开工作要点》要求，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坚持深化政务公开,进一步提高政务公开法治化、标准化、规范化水平,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highlight w:val="none"/>
        </w:rPr>
        <w:t>确保我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highlight w:val="none"/>
          <w:lang w:eastAsia="zh-CN"/>
        </w:rPr>
        <w:t>部门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highlight w:val="none"/>
        </w:rPr>
        <w:t>政府信息公开工作扎实有效开展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。</w:t>
      </w:r>
    </w:p>
    <w:p>
      <w:pPr>
        <w:pStyle w:val="4"/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outlineLvl w:val="9"/>
        <w:rPr>
          <w:rFonts w:hint="default" w:ascii="仿宋_GB2312" w:hAnsi="宋体" w:eastAsia="仿宋_GB2312" w:cs="宋体"/>
          <w:color w:val="auto"/>
          <w:kern w:val="0"/>
          <w:sz w:val="32"/>
          <w:szCs w:val="32"/>
          <w:highlight w:val="none"/>
        </w:rPr>
      </w:pPr>
      <w:r>
        <w:rPr>
          <w:rFonts w:hint="default" w:ascii="仿宋_GB2312" w:hAnsi="宋体" w:eastAsia="仿宋_GB2312" w:cs="宋体"/>
          <w:color w:val="auto"/>
          <w:kern w:val="0"/>
          <w:sz w:val="32"/>
          <w:szCs w:val="32"/>
          <w:highlight w:val="none"/>
        </w:rPr>
        <w:t>本报告是根据《中华人民共和国政府信息公开工作年度报告格式》（国办公开办函〔2021〕30号）</w:t>
      </w:r>
      <w:r>
        <w:rPr>
          <w:rFonts w:hint="eastAsia" w:ascii="仿宋_GB2312" w:eastAsia="仿宋_GB2312" w:cs="宋体"/>
          <w:color w:val="auto"/>
          <w:kern w:val="0"/>
          <w:sz w:val="32"/>
          <w:szCs w:val="32"/>
          <w:highlight w:val="none"/>
          <w:lang w:eastAsia="zh-CN"/>
        </w:rPr>
        <w:t>、《政府信息公开工作年度报告编发指南》、《关于做好</w:t>
      </w:r>
      <w:r>
        <w:rPr>
          <w:rFonts w:hint="eastAsia" w:ascii="仿宋_GB2312" w:eastAsia="仿宋_GB2312" w:cs="宋体"/>
          <w:color w:val="auto"/>
          <w:kern w:val="0"/>
          <w:sz w:val="32"/>
          <w:szCs w:val="32"/>
          <w:highlight w:val="none"/>
          <w:lang w:val="en-US" w:eastAsia="zh-CN"/>
        </w:rPr>
        <w:t>2021年政府信息公开工作年度报告编制和发布工作的通知</w:t>
      </w:r>
      <w:r>
        <w:rPr>
          <w:rFonts w:hint="eastAsia" w:ascii="仿宋_GB2312" w:eastAsia="仿宋_GB2312" w:cs="宋体"/>
          <w:color w:val="auto"/>
          <w:kern w:val="0"/>
          <w:sz w:val="32"/>
          <w:szCs w:val="32"/>
          <w:highlight w:val="none"/>
          <w:lang w:eastAsia="zh-CN"/>
        </w:rPr>
        <w:t>》的有关</w:t>
      </w:r>
      <w:r>
        <w:rPr>
          <w:rFonts w:hint="default" w:ascii="仿宋_GB2312" w:hAnsi="宋体" w:eastAsia="仿宋_GB2312" w:cs="宋体"/>
          <w:color w:val="auto"/>
          <w:kern w:val="0"/>
          <w:sz w:val="32"/>
          <w:szCs w:val="32"/>
          <w:highlight w:val="none"/>
        </w:rPr>
        <w:t>要求</w:t>
      </w:r>
      <w:r>
        <w:rPr>
          <w:rFonts w:hint="eastAsia" w:ascii="仿宋_GB2312" w:eastAsia="仿宋_GB2312" w:cs="宋体"/>
          <w:color w:val="auto"/>
          <w:kern w:val="0"/>
          <w:sz w:val="32"/>
          <w:szCs w:val="32"/>
          <w:highlight w:val="none"/>
          <w:lang w:eastAsia="zh-CN"/>
        </w:rPr>
        <w:t>编制，</w:t>
      </w:r>
      <w:r>
        <w:rPr>
          <w:rFonts w:hint="default" w:ascii="仿宋_GB2312" w:hAnsi="宋体" w:eastAsia="仿宋_GB2312" w:cs="宋体"/>
          <w:color w:val="auto"/>
          <w:kern w:val="0"/>
          <w:sz w:val="32"/>
          <w:szCs w:val="32"/>
          <w:highlight w:val="none"/>
        </w:rPr>
        <w:t>所列数据的统计期限是20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仿宋_GB2312" w:eastAsia="仿宋_GB2312" w:cs="宋体"/>
          <w:color w:val="auto"/>
          <w:kern w:val="0"/>
          <w:sz w:val="32"/>
          <w:szCs w:val="32"/>
          <w:highlight w:val="none"/>
          <w:lang w:val="en-US" w:eastAsia="zh-CN"/>
        </w:rPr>
        <w:t>1</w:t>
      </w:r>
      <w:r>
        <w:rPr>
          <w:rFonts w:hint="default" w:ascii="仿宋_GB2312" w:hAnsi="宋体" w:eastAsia="仿宋_GB2312" w:cs="宋体"/>
          <w:color w:val="auto"/>
          <w:kern w:val="0"/>
          <w:sz w:val="32"/>
          <w:szCs w:val="32"/>
          <w:highlight w:val="none"/>
        </w:rPr>
        <w:t>年1月1日至20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仿宋_GB2312" w:eastAsia="仿宋_GB2312" w:cs="宋体"/>
          <w:color w:val="auto"/>
          <w:kern w:val="0"/>
          <w:sz w:val="32"/>
          <w:szCs w:val="32"/>
          <w:highlight w:val="none"/>
          <w:lang w:val="en-US" w:eastAsia="zh-CN"/>
        </w:rPr>
        <w:t>1</w:t>
      </w:r>
      <w:r>
        <w:rPr>
          <w:rFonts w:hint="default" w:ascii="仿宋_GB2312" w:hAnsi="宋体" w:eastAsia="仿宋_GB2312" w:cs="宋体"/>
          <w:color w:val="auto"/>
          <w:kern w:val="0"/>
          <w:sz w:val="32"/>
          <w:szCs w:val="32"/>
          <w:highlight w:val="none"/>
        </w:rPr>
        <w:t>年12月31日。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both"/>
        <w:textAlignment w:val="auto"/>
        <w:outlineLvl w:val="9"/>
        <w:rPr>
          <w:rFonts w:hint="eastAsia"/>
        </w:rPr>
      </w:pPr>
      <w:r>
        <w:rPr>
          <w:rFonts w:hint="eastAsia" w:ascii="黑体" w:hAnsi="黑体" w:eastAsia="黑体" w:cs="宋体"/>
          <w:color w:val="auto"/>
          <w:kern w:val="0"/>
          <w:sz w:val="32"/>
          <w:szCs w:val="32"/>
          <w:highlight w:val="none"/>
          <w:lang w:eastAsia="zh-CN"/>
        </w:rPr>
        <w:t>一、</w:t>
      </w:r>
      <w:r>
        <w:rPr>
          <w:rFonts w:hint="eastAsia" w:ascii="黑体" w:hAnsi="黑体" w:eastAsia="黑体" w:cs="宋体"/>
          <w:color w:val="auto"/>
          <w:kern w:val="0"/>
          <w:sz w:val="32"/>
          <w:szCs w:val="32"/>
          <w:highlight w:val="none"/>
        </w:rPr>
        <w:t>政府信息公开总体情况概述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楷体" w:hAnsi="楷体" w:eastAsia="楷体" w:cs="楷体"/>
          <w:color w:val="auto"/>
          <w:sz w:val="32"/>
          <w:szCs w:val="32"/>
          <w:lang w:val="en-US" w:eastAsia="zh-CN"/>
        </w:rPr>
        <w:t>主动公开情况。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  <w:t>2021年1月1日至2021年12月31日，淄博市张店区商务局共公开政务信息47次（条）。其中政策文件1条、领导信息1条、会议公开2条、建议提案8条、财政信息3条、政策解读5条、人事信息1条、业务动态7条、政务公开保障机制4条,行政权力13条,其他2条。</w:t>
      </w:r>
    </w:p>
    <w:p>
      <w:pPr>
        <w:pStyle w:val="4"/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jc w:val="center"/>
        <w:textAlignment w:val="auto"/>
        <w:rPr>
          <w:rFonts w:hint="eastAsia" w:ascii="仿宋_GB2312" w:hAnsi="仿宋_GB2312" w:eastAsia="仿宋_GB2312" w:cs="仿宋_GB2312"/>
          <w:color w:val="0000FF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FF"/>
          <w:sz w:val="32"/>
          <w:szCs w:val="32"/>
          <w:lang w:val="en-US" w:eastAsia="zh-CN"/>
        </w:rPr>
        <w:drawing>
          <wp:inline distT="0" distB="0" distL="114300" distR="114300">
            <wp:extent cx="3693160" cy="2239010"/>
            <wp:effectExtent l="0" t="0" r="10160" b="1270"/>
            <wp:docPr id="5" name="图片 5" descr="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693160" cy="2239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jc w:val="center"/>
        <w:textAlignment w:val="auto"/>
        <w:rPr>
          <w:rFonts w:hint="eastAsia" w:ascii="仿宋_GB2312" w:hAnsi="仿宋_GB2312" w:eastAsia="仿宋_GB2312" w:cs="仿宋_GB2312"/>
          <w:color w:val="0000FF"/>
          <w:sz w:val="32"/>
          <w:szCs w:val="32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FF"/>
          <w:sz w:val="32"/>
          <w:szCs w:val="32"/>
        </w:rPr>
      </w:pPr>
      <w:r>
        <w:rPr>
          <w:rFonts w:hint="eastAsia" w:ascii="楷体" w:hAnsi="楷体" w:eastAsia="楷体" w:cs="楷体"/>
          <w:color w:val="auto"/>
          <w:sz w:val="32"/>
          <w:szCs w:val="32"/>
          <w:lang w:val="en-US" w:eastAsia="zh-CN"/>
        </w:rPr>
        <w:t>（二）依申请公开情况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  <w:t>。2021年度无依申请公开的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信息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楷体" w:hAnsi="楷体" w:eastAsia="楷体" w:cs="楷体"/>
          <w:color w:val="auto"/>
          <w:sz w:val="32"/>
          <w:szCs w:val="32"/>
        </w:rPr>
        <w:t>（</w:t>
      </w:r>
      <w:r>
        <w:rPr>
          <w:rFonts w:hint="eastAsia" w:ascii="楷体" w:hAnsi="楷体" w:eastAsia="楷体" w:cs="楷体"/>
          <w:color w:val="auto"/>
          <w:kern w:val="0"/>
          <w:sz w:val="32"/>
          <w:szCs w:val="32"/>
          <w:lang w:val="en-US" w:eastAsia="zh-CN" w:bidi="ar-SA"/>
        </w:rPr>
        <w:t>三）</w:t>
      </w:r>
      <w:r>
        <w:rPr>
          <w:rFonts w:hint="eastAsia" w:ascii="楷体" w:hAnsi="楷体" w:eastAsia="楷体" w:cs="楷体"/>
          <w:color w:val="auto"/>
          <w:kern w:val="0"/>
          <w:sz w:val="32"/>
          <w:szCs w:val="32"/>
          <w:lang w:val="en-US" w:eastAsia="zh-CN" w:bidi="ar-SA"/>
        </w:rPr>
        <w:t>政府信息管理情况。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  <w:t>202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  <w:t>1年以来，为全面提升政务公开质量和实效，推动商务局政务公开不断向纵深发展，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  <w:t>我局采取多种措施加强政府信息公开管理。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240" w:lineRule="auto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楷体_GB2312" w:hAnsi="楷体_GB2312" w:eastAsia="楷体_GB2312" w:cs="楷体_GB2312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kern w:val="2"/>
          <w:sz w:val="32"/>
          <w:szCs w:val="32"/>
          <w:highlight w:val="none"/>
          <w:lang w:val="en-US" w:eastAsia="zh-CN" w:bidi="ar-SA"/>
        </w:rPr>
        <w:t>一是加强组织领导。调整淄博市张店区商务局政务信息公开工作小组，明确专人负责政府信息公开的日常工作,通过层层细化分解，将工作任务落实到具体责任人员，以保障政府信息公开工作的顺利推进。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highlight w:val="none"/>
          <w:lang w:val="en-US" w:eastAsia="zh-CN"/>
        </w:rPr>
        <w:t>二是</w:t>
      </w:r>
      <w:r>
        <w:rPr>
          <w:rFonts w:hint="eastAsia" w:ascii="楷体_GB2312" w:hAnsi="楷体_GB2312" w:eastAsia="楷体_GB2312" w:cs="楷体_GB2312"/>
          <w:sz w:val="32"/>
          <w:szCs w:val="32"/>
          <w:highlight w:val="none"/>
        </w:rPr>
        <w:t>规范</w:t>
      </w:r>
      <w:r>
        <w:rPr>
          <w:rFonts w:hint="eastAsia" w:ascii="楷体_GB2312" w:hAnsi="楷体_GB2312" w:eastAsia="楷体_GB2312" w:cs="楷体_GB2312"/>
          <w:sz w:val="32"/>
          <w:szCs w:val="32"/>
          <w:highlight w:val="none"/>
          <w:lang w:eastAsia="zh-CN"/>
        </w:rPr>
        <w:t>政务</w:t>
      </w:r>
      <w:r>
        <w:rPr>
          <w:rFonts w:hint="eastAsia" w:ascii="楷体_GB2312" w:hAnsi="楷体_GB2312" w:eastAsia="楷体_GB2312" w:cs="楷体_GB2312"/>
          <w:sz w:val="32"/>
          <w:szCs w:val="32"/>
          <w:highlight w:val="none"/>
        </w:rPr>
        <w:t>信息管理</w:t>
      </w:r>
      <w:r>
        <w:rPr>
          <w:rFonts w:hint="eastAsia" w:ascii="楷体_GB2312" w:hAnsi="楷体_GB2312" w:eastAsia="楷体_GB2312" w:cs="楷体_GB2312"/>
          <w:sz w:val="32"/>
          <w:szCs w:val="32"/>
          <w:highlight w:val="none"/>
          <w:lang w:eastAsia="zh-CN"/>
        </w:rPr>
        <w:t>，提升政务信息公开标准化规范化水平</w:t>
      </w:r>
      <w:r>
        <w:rPr>
          <w:rFonts w:hint="eastAsia" w:ascii="楷体_GB2312" w:hAnsi="楷体_GB2312" w:eastAsia="楷体_GB2312" w:cs="楷体_GB2312"/>
          <w:sz w:val="32"/>
          <w:szCs w:val="32"/>
          <w:highlight w:val="none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根据《2021年张店区政务公开工作要点》要求，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对本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部门政务公开情况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进行详细梳理,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细化政务公开目录，优化政务公开内容分类，大大方便了群众信息查找。同时目录设置更加注重系统化，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推动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本部门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管理服务更加透明规范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。</w:t>
      </w:r>
    </w:p>
    <w:p>
      <w:pPr>
        <w:pStyle w:val="2"/>
        <w:rPr>
          <w:rFonts w:hint="eastAsia"/>
          <w:lang w:eastAsia="zh-CN"/>
        </w:rPr>
      </w:pPr>
    </w:p>
    <w:p>
      <w:pPr>
        <w:pStyle w:val="2"/>
        <w:ind w:left="0" w:leftChars="0" w:firstLine="0" w:firstLineChars="0"/>
        <w:jc w:val="center"/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4248785" cy="2272665"/>
            <wp:effectExtent l="0" t="0" r="3175" b="13335"/>
            <wp:docPr id="9" name="图片 9" descr="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248785" cy="2272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b w:val="0"/>
          <w:bCs/>
          <w:sz w:val="32"/>
          <w:szCs w:val="32"/>
          <w:highlight w:val="none"/>
          <w:lang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highlight w:val="none"/>
          <w:lang w:val="en-US" w:eastAsia="zh-CN"/>
        </w:rPr>
        <w:t>三是</w:t>
      </w:r>
      <w:r>
        <w:rPr>
          <w:rFonts w:hint="eastAsia" w:ascii="楷体_GB2312" w:eastAsia="楷体_GB2312"/>
          <w:sz w:val="32"/>
          <w:szCs w:val="32"/>
          <w:highlight w:val="none"/>
          <w:lang w:eastAsia="zh-CN"/>
        </w:rPr>
        <w:t>注重平台维护，提升政务信息公开质量。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依据本部门人员和岗位变化情况，第一时间调整政务公开工作领导小组成员；</w:t>
      </w:r>
      <w:r>
        <w:rPr>
          <w:rFonts w:hint="eastAsia" w:ascii="仿宋_GB2312" w:eastAsia="仿宋_GB2312"/>
          <w:sz w:val="32"/>
          <w:szCs w:val="32"/>
          <w:highlight w:val="none"/>
          <w:lang w:eastAsia="zh-CN"/>
        </w:rPr>
        <w:t>及时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修改《张店区商务局主动公开基本目录》；不断完善政府信息公开指南，增加政务信息公开申请表及流程图，使政务信息依申请公开更具操作性；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highlight w:val="none"/>
          <w:lang w:eastAsia="zh-CN"/>
        </w:rPr>
        <w:t>对于本部门制定的文件定期检查时效性，对于失效文件进行标注处理；加强政策解读，严格按照“谁起草、谁解读”的原则，对今年本部门出台的文件进行解读，让群众充分理解相关通知内容，便于相关要求更好落实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楷体" w:hAnsi="楷体" w:eastAsia="楷体" w:cs="楷体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楷体" w:hAnsi="楷体" w:eastAsia="楷体" w:cs="楷体"/>
          <w:color w:val="auto"/>
          <w:kern w:val="0"/>
          <w:sz w:val="32"/>
          <w:szCs w:val="32"/>
        </w:rPr>
        <w:t>（</w:t>
      </w:r>
      <w:r>
        <w:rPr>
          <w:rFonts w:hint="eastAsia" w:ascii="楷体" w:hAnsi="楷体" w:eastAsia="楷体" w:cs="楷体"/>
          <w:color w:val="auto"/>
          <w:kern w:val="0"/>
          <w:sz w:val="32"/>
          <w:szCs w:val="32"/>
          <w:lang w:val="en-US" w:eastAsia="zh-CN" w:bidi="ar-SA"/>
        </w:rPr>
        <w:t>四）</w:t>
      </w:r>
      <w:r>
        <w:rPr>
          <w:rFonts w:hint="eastAsia" w:ascii="楷体" w:hAnsi="楷体" w:eastAsia="楷体" w:cs="楷体"/>
          <w:color w:val="auto"/>
          <w:kern w:val="0"/>
          <w:sz w:val="32"/>
          <w:szCs w:val="32"/>
          <w:lang w:val="en-US" w:eastAsia="zh-CN" w:bidi="ar-SA"/>
        </w:rPr>
        <w:t>监督保障情况。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0" w:firstLine="640" w:firstLineChars="200"/>
        <w:textAlignment w:val="auto"/>
        <w:outlineLvl w:val="9"/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bookmarkStart w:id="0" w:name="_GoBack"/>
      <w:bookmarkEnd w:id="0"/>
      <w:r>
        <w:rPr>
          <w:rFonts w:hint="eastAsia" w:ascii="楷体_GB2312" w:hAnsi="楷体_GB2312" w:eastAsia="楷体_GB2312" w:cs="楷体_GB2312"/>
          <w:sz w:val="32"/>
          <w:szCs w:val="32"/>
          <w:highlight w:val="none"/>
          <w:lang w:eastAsia="zh-CN"/>
        </w:rPr>
        <w:t>强化政务公开</w:t>
      </w:r>
      <w:r>
        <w:rPr>
          <w:rFonts w:hint="eastAsia" w:ascii="楷体_GB2312" w:hAnsi="楷体_GB2312" w:eastAsia="楷体_GB2312" w:cs="楷体_GB2312"/>
          <w:sz w:val="32"/>
          <w:szCs w:val="32"/>
          <w:highlight w:val="none"/>
        </w:rPr>
        <w:t>培训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。组织政务公开人员参加区级部门组织的政务公开培训，并结合本部门实际情况进行了针对性培训，严格会议纪律，确保政务公开工作规范、高效、便民。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2021年参加区级政务公开工作专题会及业务推进培训会7次，组织全体人员开展政务公开培训1次。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0" w:firstLine="640" w:firstLineChars="200"/>
        <w:textAlignment w:val="auto"/>
        <w:outlineLvl w:val="9"/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社会评议和责任追究结果情况。在淄博市张店区政府门户网站设立机构职能、决策事项目录、职责边界清单、公共资源配置等栏目，自觉接受社会对我局工作的监督，目前未收到不良评议。</w:t>
      </w:r>
    </w:p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/>
        <w:jc w:val="both"/>
        <w:textAlignment w:val="auto"/>
        <w:outlineLvl w:val="9"/>
        <w:rPr>
          <w:rFonts w:ascii="黑体" w:hAnsi="黑体" w:eastAsia="黑体" w:cs="黑体"/>
          <w:color w:val="auto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shd w:val="clear" w:color="auto" w:fill="FFFFFF"/>
        </w:rPr>
        <w:t>二、主动公开政府信息情况</w:t>
      </w:r>
    </w:p>
    <w:tbl>
      <w:tblPr>
        <w:tblStyle w:val="16"/>
        <w:tblW w:w="8708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073"/>
        <w:gridCol w:w="2112"/>
        <w:gridCol w:w="1505"/>
        <w:gridCol w:w="201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  <w:jc w:val="center"/>
        </w:trPr>
        <w:tc>
          <w:tcPr>
            <w:tcW w:w="8708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rFonts w:ascii="宋体" w:hAnsi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</w:rPr>
              <w:t>第二十条第（一）项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6" w:hRule="atLeast"/>
          <w:jc w:val="center"/>
        </w:trPr>
        <w:tc>
          <w:tcPr>
            <w:tcW w:w="30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</w:rPr>
              <w:t>信息内容</w:t>
            </w:r>
          </w:p>
        </w:tc>
        <w:tc>
          <w:tcPr>
            <w:tcW w:w="211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</w:rPr>
              <w:t>本年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制发件数</w:t>
            </w:r>
          </w:p>
        </w:tc>
        <w:tc>
          <w:tcPr>
            <w:tcW w:w="15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</w:rPr>
              <w:t>本年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废止件数</w:t>
            </w:r>
          </w:p>
        </w:tc>
        <w:tc>
          <w:tcPr>
            <w:tcW w:w="2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现行有效件数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  <w:jc w:val="center"/>
        </w:trPr>
        <w:tc>
          <w:tcPr>
            <w:tcW w:w="30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</w:rPr>
              <w:t>规章</w:t>
            </w:r>
          </w:p>
        </w:tc>
        <w:tc>
          <w:tcPr>
            <w:tcW w:w="21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15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</w:rPr>
              <w:t> 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2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</w:rPr>
              <w:t>　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  <w:jc w:val="center"/>
        </w:trPr>
        <w:tc>
          <w:tcPr>
            <w:tcW w:w="30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</w:rPr>
              <w:t>规范性文件</w:t>
            </w:r>
          </w:p>
        </w:tc>
        <w:tc>
          <w:tcPr>
            <w:tcW w:w="21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15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 xml:space="preserve">  0</w:t>
            </w:r>
          </w:p>
        </w:tc>
        <w:tc>
          <w:tcPr>
            <w:tcW w:w="2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 xml:space="preserve">  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8708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</w:rPr>
              <w:t>第二十条第（五）项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  <w:jc w:val="center"/>
        </w:trPr>
        <w:tc>
          <w:tcPr>
            <w:tcW w:w="30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</w:rPr>
              <w:t>信息内容</w:t>
            </w:r>
          </w:p>
        </w:tc>
        <w:tc>
          <w:tcPr>
            <w:tcW w:w="563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  <w:jc w:val="center"/>
        </w:trPr>
        <w:tc>
          <w:tcPr>
            <w:tcW w:w="30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</w:rPr>
              <w:t>行政许可</w:t>
            </w:r>
          </w:p>
        </w:tc>
        <w:tc>
          <w:tcPr>
            <w:tcW w:w="563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  <w:jc w:val="center"/>
        </w:trPr>
        <w:tc>
          <w:tcPr>
            <w:tcW w:w="8708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</w:rPr>
              <w:t>第二十条第（六）项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30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</w:rPr>
              <w:t>信息内容</w:t>
            </w:r>
          </w:p>
        </w:tc>
        <w:tc>
          <w:tcPr>
            <w:tcW w:w="563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  <w:jc w:val="center"/>
        </w:trPr>
        <w:tc>
          <w:tcPr>
            <w:tcW w:w="30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</w:rPr>
              <w:t>行政处罚</w:t>
            </w:r>
          </w:p>
        </w:tc>
        <w:tc>
          <w:tcPr>
            <w:tcW w:w="563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</w:rPr>
              <w:t>　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  <w:jc w:val="center"/>
        </w:trPr>
        <w:tc>
          <w:tcPr>
            <w:tcW w:w="30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</w:rPr>
              <w:t>行政强制</w:t>
            </w:r>
          </w:p>
        </w:tc>
        <w:tc>
          <w:tcPr>
            <w:tcW w:w="563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</w:rPr>
              <w:t>　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  <w:jc w:val="center"/>
        </w:trPr>
        <w:tc>
          <w:tcPr>
            <w:tcW w:w="8708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</w:rPr>
              <w:t>第二十条第（八）项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  <w:jc w:val="center"/>
        </w:trPr>
        <w:tc>
          <w:tcPr>
            <w:tcW w:w="30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</w:rPr>
              <w:t>信息内容</w:t>
            </w:r>
          </w:p>
        </w:tc>
        <w:tc>
          <w:tcPr>
            <w:tcW w:w="563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本年收费金额（单位：万元）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30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</w:rPr>
              <w:t>行政事业性收费</w:t>
            </w:r>
          </w:p>
        </w:tc>
        <w:tc>
          <w:tcPr>
            <w:tcW w:w="563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</w:tr>
    </w:tbl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-199" w:leftChars="-95" w:firstLine="620"/>
        <w:jc w:val="both"/>
        <w:textAlignment w:val="auto"/>
        <w:outlineLvl w:val="9"/>
        <w:rPr>
          <w:rFonts w:ascii="黑体" w:hAnsi="黑体" w:eastAsia="黑体" w:cs="黑体"/>
          <w:color w:val="auto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/>
          <w:color w:val="auto"/>
          <w:sz w:val="32"/>
          <w:szCs w:val="32"/>
          <w:highlight w:val="none"/>
          <w:shd w:val="clear" w:color="auto" w:fill="FFFFFF"/>
        </w:rPr>
        <w:t>三、收到和处理政府信息公开申请情况</w:t>
      </w:r>
    </w:p>
    <w:tbl>
      <w:tblPr>
        <w:tblStyle w:val="16"/>
        <w:tblW w:w="9071" w:type="dxa"/>
        <w:jc w:val="center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5"/>
        <w:gridCol w:w="1418"/>
        <w:gridCol w:w="2835"/>
        <w:gridCol w:w="850"/>
        <w:gridCol w:w="567"/>
        <w:gridCol w:w="567"/>
        <w:gridCol w:w="567"/>
        <w:gridCol w:w="567"/>
        <w:gridCol w:w="540"/>
        <w:gridCol w:w="635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  <w:jc w:val="center"/>
        </w:trPr>
        <w:tc>
          <w:tcPr>
            <w:tcW w:w="4778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</w:rPr>
              <w:t>（本列数据的勾稽关系为：第一项加第二项之和，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</w:rPr>
              <w:t>等于第三项加第四项之和）</w:t>
            </w:r>
          </w:p>
        </w:tc>
        <w:tc>
          <w:tcPr>
            <w:tcW w:w="4293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</w:rPr>
              <w:t>申请人情况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4778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rFonts w:ascii="宋体"/>
                <w:color w:val="auto"/>
                <w:sz w:val="24"/>
                <w:highlight w:val="none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</w:rPr>
              <w:t>自然人</w:t>
            </w:r>
          </w:p>
        </w:tc>
        <w:tc>
          <w:tcPr>
            <w:tcW w:w="280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</w:rPr>
              <w:t>法人或其他组织</w:t>
            </w:r>
          </w:p>
        </w:tc>
        <w:tc>
          <w:tcPr>
            <w:tcW w:w="635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7" w:hRule="atLeast"/>
          <w:jc w:val="center"/>
        </w:trPr>
        <w:tc>
          <w:tcPr>
            <w:tcW w:w="4778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rFonts w:ascii="宋体"/>
                <w:color w:val="auto"/>
                <w:sz w:val="24"/>
                <w:highlight w:val="none"/>
              </w:rPr>
            </w:pPr>
          </w:p>
        </w:tc>
        <w:tc>
          <w:tcPr>
            <w:tcW w:w="85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rFonts w:ascii="宋体"/>
                <w:color w:val="auto"/>
                <w:sz w:val="24"/>
                <w:highlight w:val="none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-107" w:leftChars="-51" w:right="-107" w:rightChars="-51"/>
              <w:jc w:val="center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</w:rPr>
              <w:t>商业企业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-107" w:leftChars="-51" w:right="-107" w:rightChars="-51"/>
              <w:jc w:val="center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</w:rPr>
              <w:t>科研机构</w:t>
            </w:r>
          </w:p>
        </w:tc>
        <w:tc>
          <w:tcPr>
            <w:tcW w:w="56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-107" w:leftChars="-51" w:right="-107" w:rightChars="-51"/>
              <w:jc w:val="center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</w:rPr>
              <w:t>社会公益组织</w:t>
            </w:r>
          </w:p>
        </w:tc>
        <w:tc>
          <w:tcPr>
            <w:tcW w:w="56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-107" w:leftChars="-51" w:right="-107" w:rightChars="-51"/>
              <w:jc w:val="center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</w:rPr>
              <w:t>法律服务机构</w:t>
            </w:r>
          </w:p>
        </w:tc>
        <w:tc>
          <w:tcPr>
            <w:tcW w:w="5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-63" w:leftChars="-30" w:right="-134" w:rightChars="-64"/>
              <w:jc w:val="center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</w:rPr>
              <w:t>其他</w:t>
            </w:r>
          </w:p>
        </w:tc>
        <w:tc>
          <w:tcPr>
            <w:tcW w:w="635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rFonts w:ascii="宋体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77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</w:rPr>
              <w:t>一、本年新收政府信息公开申请数量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rFonts w:hint="default" w:eastAsia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rFonts w:hint="eastAsia" w:eastAsia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rFonts w:hint="eastAsia" w:eastAsia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rFonts w:hint="eastAsia" w:eastAsia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rFonts w:hint="eastAsia" w:eastAsia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rFonts w:hint="eastAsia" w:eastAsia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rFonts w:hint="default" w:eastAsia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77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</w:rPr>
              <w:t>二、上年结转政府信息公开申请数量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rFonts w:hint="eastAsia" w:eastAsia="宋体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rFonts w:hint="eastAsia" w:eastAsia="宋体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rFonts w:hint="eastAsia" w:eastAsia="宋体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rFonts w:hint="eastAsia" w:eastAsia="宋体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rFonts w:hint="eastAsia" w:eastAsia="宋体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rFonts w:hint="eastAsia" w:eastAsia="宋体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rFonts w:hint="eastAsia" w:eastAsia="宋体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25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</w:rPr>
              <w:t>三、本年度办理结果</w:t>
            </w:r>
          </w:p>
        </w:tc>
        <w:tc>
          <w:tcPr>
            <w:tcW w:w="42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ascii="楷体" w:hAnsi="楷体" w:eastAsia="楷体" w:cs="楷体"/>
                <w:color w:val="auto"/>
                <w:kern w:val="0"/>
                <w:sz w:val="20"/>
                <w:szCs w:val="20"/>
                <w:highlight w:val="none"/>
              </w:rPr>
              <w:t>（一）予以公开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rFonts w:hint="eastAsia" w:eastAsia="宋体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rFonts w:hint="eastAsia" w:eastAsia="宋体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rFonts w:hint="eastAsia" w:eastAsia="宋体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rFonts w:hint="eastAsia" w:eastAsia="宋体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rFonts w:hint="eastAsia" w:eastAsia="宋体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rFonts w:hint="eastAsia" w:eastAsia="宋体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6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rFonts w:hint="eastAsia" w:eastAsia="宋体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textAlignment w:val="auto"/>
              <w:outlineLvl w:val="9"/>
              <w:rPr>
                <w:rFonts w:ascii="宋体"/>
                <w:color w:val="auto"/>
                <w:sz w:val="24"/>
                <w:highlight w:val="none"/>
              </w:rPr>
            </w:pPr>
          </w:p>
        </w:tc>
        <w:tc>
          <w:tcPr>
            <w:tcW w:w="42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0"/>
                <w:szCs w:val="20"/>
                <w:highlight w:val="none"/>
              </w:rPr>
              <w:t>（二）部分公开（区分处理的，只计这一情形，不计其他情形）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textAlignment w:val="auto"/>
              <w:outlineLvl w:val="9"/>
              <w:rPr>
                <w:rFonts w:ascii="宋体"/>
                <w:color w:val="auto"/>
                <w:sz w:val="24"/>
                <w:highlight w:val="none"/>
              </w:rPr>
            </w:pPr>
          </w:p>
        </w:tc>
        <w:tc>
          <w:tcPr>
            <w:tcW w:w="141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-107" w:leftChars="-51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0"/>
                <w:szCs w:val="20"/>
                <w:highlight w:val="none"/>
              </w:rPr>
              <w:t>（三）不予公开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textAlignment w:val="auto"/>
              <w:outlineLvl w:val="9"/>
              <w:rPr>
                <w:rFonts w:ascii="楷体" w:hAnsi="楷体" w:eastAsia="楷体" w:cs="楷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0"/>
                <w:szCs w:val="20"/>
                <w:highlight w:val="none"/>
              </w:rPr>
              <w:t>1.属于国家秘密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6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textAlignment w:val="auto"/>
              <w:outlineLvl w:val="9"/>
              <w:rPr>
                <w:rFonts w:ascii="宋体"/>
                <w:color w:val="auto"/>
                <w:sz w:val="24"/>
                <w:highlight w:val="none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textAlignment w:val="auto"/>
              <w:outlineLvl w:val="9"/>
              <w:rPr>
                <w:rFonts w:ascii="宋体"/>
                <w:color w:val="auto"/>
                <w:sz w:val="24"/>
                <w:highlight w:val="none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textAlignment w:val="auto"/>
              <w:outlineLvl w:val="9"/>
              <w:rPr>
                <w:rFonts w:ascii="楷体" w:hAnsi="楷体" w:eastAsia="楷体" w:cs="楷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0"/>
                <w:szCs w:val="20"/>
                <w:highlight w:val="none"/>
              </w:rPr>
              <w:t>2.其他法律行政法规禁止公开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textAlignment w:val="auto"/>
              <w:outlineLvl w:val="9"/>
              <w:rPr>
                <w:rFonts w:ascii="宋体"/>
                <w:color w:val="auto"/>
                <w:sz w:val="24"/>
                <w:highlight w:val="none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textAlignment w:val="auto"/>
              <w:outlineLvl w:val="9"/>
              <w:rPr>
                <w:rFonts w:ascii="宋体"/>
                <w:color w:val="auto"/>
                <w:sz w:val="24"/>
                <w:highlight w:val="none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textAlignment w:val="auto"/>
              <w:outlineLvl w:val="9"/>
              <w:rPr>
                <w:rFonts w:ascii="楷体" w:hAnsi="楷体" w:eastAsia="楷体" w:cs="楷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0"/>
                <w:szCs w:val="20"/>
                <w:highlight w:val="none"/>
              </w:rPr>
              <w:t>3.危及“三安全一稳定”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textAlignment w:val="auto"/>
              <w:outlineLvl w:val="9"/>
              <w:rPr>
                <w:rFonts w:ascii="宋体"/>
                <w:color w:val="auto"/>
                <w:sz w:val="24"/>
                <w:highlight w:val="none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textAlignment w:val="auto"/>
              <w:outlineLvl w:val="9"/>
              <w:rPr>
                <w:rFonts w:ascii="宋体"/>
                <w:color w:val="auto"/>
                <w:sz w:val="24"/>
                <w:highlight w:val="none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textAlignment w:val="auto"/>
              <w:outlineLvl w:val="9"/>
              <w:rPr>
                <w:rFonts w:ascii="楷体" w:hAnsi="楷体" w:eastAsia="楷体" w:cs="楷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0"/>
                <w:szCs w:val="20"/>
                <w:highlight w:val="none"/>
              </w:rPr>
              <w:t>4.保护第三方合法权益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textAlignment w:val="auto"/>
              <w:outlineLvl w:val="9"/>
              <w:rPr>
                <w:rFonts w:ascii="宋体"/>
                <w:color w:val="auto"/>
                <w:sz w:val="24"/>
                <w:highlight w:val="none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textAlignment w:val="auto"/>
              <w:outlineLvl w:val="9"/>
              <w:rPr>
                <w:rFonts w:ascii="宋体"/>
                <w:color w:val="auto"/>
                <w:sz w:val="24"/>
                <w:highlight w:val="none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textAlignment w:val="auto"/>
              <w:outlineLvl w:val="9"/>
              <w:rPr>
                <w:rFonts w:ascii="楷体" w:hAnsi="楷体" w:eastAsia="楷体" w:cs="楷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0"/>
                <w:szCs w:val="20"/>
                <w:highlight w:val="none"/>
              </w:rPr>
              <w:t>5.属于三类内部事务信息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textAlignment w:val="auto"/>
              <w:outlineLvl w:val="9"/>
              <w:rPr>
                <w:rFonts w:ascii="宋体"/>
                <w:color w:val="auto"/>
                <w:sz w:val="24"/>
                <w:highlight w:val="none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textAlignment w:val="auto"/>
              <w:outlineLvl w:val="9"/>
              <w:rPr>
                <w:rFonts w:ascii="宋体"/>
                <w:color w:val="auto"/>
                <w:sz w:val="24"/>
                <w:highlight w:val="none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textAlignment w:val="auto"/>
              <w:outlineLvl w:val="9"/>
              <w:rPr>
                <w:rFonts w:ascii="楷体" w:hAnsi="楷体" w:eastAsia="楷体" w:cs="楷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0"/>
                <w:szCs w:val="20"/>
                <w:highlight w:val="none"/>
              </w:rPr>
              <w:t>6.属于四类过程性信息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textAlignment w:val="auto"/>
              <w:outlineLvl w:val="9"/>
              <w:rPr>
                <w:rFonts w:ascii="宋体"/>
                <w:color w:val="auto"/>
                <w:sz w:val="24"/>
                <w:highlight w:val="none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textAlignment w:val="auto"/>
              <w:outlineLvl w:val="9"/>
              <w:rPr>
                <w:rFonts w:ascii="宋体"/>
                <w:color w:val="auto"/>
                <w:sz w:val="24"/>
                <w:highlight w:val="none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textAlignment w:val="auto"/>
              <w:outlineLvl w:val="9"/>
              <w:rPr>
                <w:rFonts w:ascii="楷体" w:hAnsi="楷体" w:eastAsia="楷体" w:cs="楷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0"/>
                <w:szCs w:val="20"/>
                <w:highlight w:val="none"/>
              </w:rPr>
              <w:t>7.属于行政执法案卷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textAlignment w:val="auto"/>
              <w:outlineLvl w:val="9"/>
              <w:rPr>
                <w:rFonts w:ascii="宋体"/>
                <w:color w:val="auto"/>
                <w:sz w:val="24"/>
                <w:highlight w:val="none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textAlignment w:val="auto"/>
              <w:outlineLvl w:val="9"/>
              <w:rPr>
                <w:rFonts w:ascii="宋体"/>
                <w:color w:val="auto"/>
                <w:sz w:val="24"/>
                <w:highlight w:val="none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textAlignment w:val="auto"/>
              <w:outlineLvl w:val="9"/>
              <w:rPr>
                <w:rFonts w:ascii="楷体" w:hAnsi="楷体" w:eastAsia="楷体" w:cs="楷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0"/>
                <w:szCs w:val="20"/>
                <w:highlight w:val="none"/>
              </w:rPr>
              <w:t>8.属于行政查询事项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textAlignment w:val="auto"/>
              <w:outlineLvl w:val="9"/>
              <w:rPr>
                <w:rFonts w:ascii="宋体"/>
                <w:color w:val="auto"/>
                <w:sz w:val="24"/>
                <w:highlight w:val="none"/>
              </w:rPr>
            </w:pPr>
          </w:p>
        </w:tc>
        <w:tc>
          <w:tcPr>
            <w:tcW w:w="141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-107" w:leftChars="-51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0"/>
                <w:szCs w:val="20"/>
                <w:highlight w:val="none"/>
              </w:rPr>
              <w:t>（四）无法提供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textAlignment w:val="auto"/>
              <w:outlineLvl w:val="9"/>
              <w:rPr>
                <w:rFonts w:ascii="楷体" w:hAnsi="楷体" w:eastAsia="楷体" w:cs="楷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0"/>
                <w:szCs w:val="20"/>
                <w:highlight w:val="none"/>
              </w:rPr>
              <w:t>1.本机关不掌握相关政府信息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rFonts w:hint="default"/>
                <w:color w:val="auto"/>
                <w:highlight w:val="none"/>
                <w:lang w:val="en-US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rFonts w:hint="default"/>
                <w:color w:val="auto"/>
                <w:highlight w:val="none"/>
                <w:lang w:val="en-US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textAlignment w:val="auto"/>
              <w:outlineLvl w:val="9"/>
              <w:rPr>
                <w:rFonts w:ascii="宋体"/>
                <w:color w:val="auto"/>
                <w:sz w:val="24"/>
                <w:highlight w:val="none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-107" w:leftChars="-51"/>
              <w:textAlignment w:val="auto"/>
              <w:outlineLvl w:val="9"/>
              <w:rPr>
                <w:rFonts w:ascii="宋体"/>
                <w:color w:val="auto"/>
                <w:sz w:val="24"/>
                <w:highlight w:val="none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textAlignment w:val="auto"/>
              <w:outlineLvl w:val="9"/>
              <w:rPr>
                <w:rFonts w:ascii="楷体" w:hAnsi="楷体" w:eastAsia="楷体" w:cs="楷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0"/>
                <w:szCs w:val="20"/>
                <w:highlight w:val="none"/>
              </w:rPr>
              <w:t>2.没有现成信息需要另行制作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textAlignment w:val="auto"/>
              <w:outlineLvl w:val="9"/>
              <w:rPr>
                <w:rFonts w:ascii="宋体"/>
                <w:color w:val="auto"/>
                <w:sz w:val="24"/>
                <w:highlight w:val="none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-107" w:leftChars="-51"/>
              <w:textAlignment w:val="auto"/>
              <w:outlineLvl w:val="9"/>
              <w:rPr>
                <w:rFonts w:ascii="宋体"/>
                <w:color w:val="auto"/>
                <w:sz w:val="24"/>
                <w:highlight w:val="none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textAlignment w:val="auto"/>
              <w:outlineLvl w:val="9"/>
              <w:rPr>
                <w:rFonts w:ascii="楷体" w:hAnsi="楷体" w:eastAsia="楷体" w:cs="楷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0"/>
                <w:szCs w:val="20"/>
                <w:highlight w:val="none"/>
              </w:rPr>
              <w:t>3.补正后申请内容仍不明确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textAlignment w:val="auto"/>
              <w:outlineLvl w:val="9"/>
              <w:rPr>
                <w:rFonts w:ascii="宋体"/>
                <w:color w:val="auto"/>
                <w:sz w:val="24"/>
                <w:highlight w:val="none"/>
              </w:rPr>
            </w:pPr>
          </w:p>
        </w:tc>
        <w:tc>
          <w:tcPr>
            <w:tcW w:w="141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-107" w:leftChars="-51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0"/>
                <w:szCs w:val="20"/>
                <w:highlight w:val="none"/>
              </w:rPr>
              <w:t>（五）不予处理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textAlignment w:val="auto"/>
              <w:outlineLvl w:val="9"/>
              <w:rPr>
                <w:rFonts w:ascii="楷体" w:hAnsi="楷体" w:eastAsia="楷体" w:cs="楷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0"/>
                <w:szCs w:val="20"/>
                <w:highlight w:val="none"/>
              </w:rPr>
              <w:t>1.信访举报投诉类申请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textAlignment w:val="auto"/>
              <w:outlineLvl w:val="9"/>
              <w:rPr>
                <w:rFonts w:ascii="宋体"/>
                <w:color w:val="auto"/>
                <w:sz w:val="24"/>
                <w:highlight w:val="none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textAlignment w:val="auto"/>
              <w:outlineLvl w:val="9"/>
              <w:rPr>
                <w:rFonts w:ascii="宋体"/>
                <w:color w:val="auto"/>
                <w:sz w:val="24"/>
                <w:highlight w:val="none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textAlignment w:val="auto"/>
              <w:outlineLvl w:val="9"/>
              <w:rPr>
                <w:rFonts w:ascii="楷体" w:hAnsi="楷体" w:eastAsia="楷体" w:cs="楷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0"/>
                <w:szCs w:val="20"/>
                <w:highlight w:val="none"/>
              </w:rPr>
              <w:t>2.重复申请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textAlignment w:val="auto"/>
              <w:outlineLvl w:val="9"/>
              <w:rPr>
                <w:rFonts w:ascii="宋体"/>
                <w:color w:val="auto"/>
                <w:sz w:val="24"/>
                <w:highlight w:val="none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textAlignment w:val="auto"/>
              <w:outlineLvl w:val="9"/>
              <w:rPr>
                <w:rFonts w:ascii="宋体"/>
                <w:color w:val="auto"/>
                <w:sz w:val="24"/>
                <w:highlight w:val="none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0"/>
                <w:szCs w:val="20"/>
                <w:highlight w:val="none"/>
              </w:rPr>
              <w:t>3.要求提供公开出版物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textAlignment w:val="auto"/>
              <w:outlineLvl w:val="9"/>
              <w:rPr>
                <w:rFonts w:ascii="宋体"/>
                <w:color w:val="auto"/>
                <w:sz w:val="24"/>
                <w:highlight w:val="none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textAlignment w:val="auto"/>
              <w:outlineLvl w:val="9"/>
              <w:rPr>
                <w:rFonts w:ascii="宋体"/>
                <w:color w:val="auto"/>
                <w:sz w:val="24"/>
                <w:highlight w:val="none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0"/>
                <w:szCs w:val="20"/>
                <w:highlight w:val="none"/>
              </w:rPr>
              <w:t>4.无正当理由大量反复申请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textAlignment w:val="auto"/>
              <w:outlineLvl w:val="9"/>
              <w:rPr>
                <w:rFonts w:ascii="宋体"/>
                <w:color w:val="auto"/>
                <w:sz w:val="24"/>
                <w:highlight w:val="none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textAlignment w:val="auto"/>
              <w:outlineLvl w:val="9"/>
              <w:rPr>
                <w:rFonts w:ascii="宋体"/>
                <w:color w:val="auto"/>
                <w:sz w:val="24"/>
                <w:highlight w:val="none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textAlignment w:val="auto"/>
              <w:outlineLvl w:val="9"/>
              <w:rPr>
                <w:rFonts w:hint="eastAsia" w:ascii="楷体" w:hAnsi="楷体" w:eastAsia="楷体" w:cs="楷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0"/>
                <w:szCs w:val="20"/>
                <w:highlight w:val="none"/>
              </w:rPr>
              <w:t>5.要求行政机关确认或重新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firstLine="200" w:firstLineChars="100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0"/>
                <w:szCs w:val="20"/>
                <w:highlight w:val="none"/>
              </w:rPr>
              <w:t>出具已获取信息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textAlignment w:val="auto"/>
              <w:outlineLvl w:val="9"/>
              <w:rPr>
                <w:rFonts w:ascii="宋体"/>
                <w:color w:val="auto"/>
                <w:sz w:val="24"/>
                <w:highlight w:val="none"/>
              </w:rPr>
            </w:pPr>
          </w:p>
        </w:tc>
        <w:tc>
          <w:tcPr>
            <w:tcW w:w="1418" w:type="dxa"/>
            <w:vMerge w:val="restart"/>
            <w:tcBorders>
              <w:top w:val="nil"/>
              <w:left w:val="nil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textAlignment w:val="auto"/>
              <w:outlineLvl w:val="9"/>
              <w:rPr>
                <w:rFonts w:ascii="宋体"/>
                <w:color w:val="auto"/>
                <w:sz w:val="24"/>
                <w:highlight w:val="none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0"/>
                <w:szCs w:val="20"/>
                <w:highlight w:val="none"/>
              </w:rPr>
              <w:t>（六）其他处理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firstLine="200" w:firstLineChars="100"/>
              <w:textAlignment w:val="auto"/>
              <w:outlineLvl w:val="9"/>
              <w:rPr>
                <w:rFonts w:hint="eastAsia" w:ascii="楷体" w:hAnsi="楷体" w:eastAsia="楷体" w:cs="楷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1.申请人无正当理由逾期不补正、行政机关不再处理其政府信息公开申请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rFonts w:hint="eastAsia"/>
                <w:color w:val="auto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rFonts w:hint="eastAsia"/>
                <w:color w:val="auto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rFonts w:hint="eastAsia"/>
                <w:color w:val="auto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rFonts w:hint="eastAsia"/>
                <w:color w:val="auto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rFonts w:hint="eastAsia"/>
                <w:color w:val="auto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rFonts w:hint="eastAsia"/>
                <w:color w:val="auto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rFonts w:hint="eastAsia"/>
                <w:color w:val="auto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textAlignment w:val="auto"/>
              <w:outlineLvl w:val="9"/>
              <w:rPr>
                <w:rFonts w:ascii="宋体"/>
                <w:color w:val="auto"/>
                <w:sz w:val="24"/>
                <w:highlight w:val="none"/>
              </w:rPr>
            </w:pPr>
          </w:p>
        </w:tc>
        <w:tc>
          <w:tcPr>
            <w:tcW w:w="1418" w:type="dxa"/>
            <w:vMerge w:val="continue"/>
            <w:tcBorders>
              <w:left w:val="nil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textAlignment w:val="auto"/>
              <w:outlineLvl w:val="9"/>
              <w:rPr>
                <w:rFonts w:ascii="宋体"/>
                <w:color w:val="auto"/>
                <w:sz w:val="24"/>
                <w:highlight w:val="none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firstLine="200" w:firstLineChars="100"/>
              <w:textAlignment w:val="auto"/>
              <w:outlineLvl w:val="9"/>
              <w:rPr>
                <w:rFonts w:hint="eastAsia" w:ascii="楷体" w:hAnsi="楷体" w:eastAsia="楷体" w:cs="楷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2.申请人逾期未按收费通知要求缴纳费用、行政机关不再处理其政府信息公开申请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rFonts w:hint="eastAsia"/>
                <w:color w:val="auto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rFonts w:hint="eastAsia"/>
                <w:color w:val="auto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rFonts w:hint="eastAsia"/>
                <w:color w:val="auto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rFonts w:hint="eastAsia"/>
                <w:color w:val="auto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rFonts w:hint="eastAsia"/>
                <w:color w:val="auto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rFonts w:hint="eastAsia"/>
                <w:color w:val="auto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rFonts w:hint="eastAsia"/>
                <w:color w:val="auto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textAlignment w:val="auto"/>
              <w:outlineLvl w:val="9"/>
              <w:rPr>
                <w:rFonts w:ascii="宋体"/>
                <w:color w:val="auto"/>
                <w:sz w:val="24"/>
                <w:highlight w:val="none"/>
              </w:rPr>
            </w:pPr>
          </w:p>
        </w:tc>
        <w:tc>
          <w:tcPr>
            <w:tcW w:w="1418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textAlignment w:val="auto"/>
              <w:outlineLvl w:val="9"/>
              <w:rPr>
                <w:rFonts w:ascii="宋体"/>
                <w:color w:val="auto"/>
                <w:sz w:val="24"/>
                <w:highlight w:val="none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firstLine="200" w:firstLineChars="100"/>
              <w:textAlignment w:val="auto"/>
              <w:outlineLvl w:val="9"/>
              <w:rPr>
                <w:rFonts w:hint="eastAsia" w:ascii="楷体" w:hAnsi="楷体" w:eastAsia="楷体" w:cs="楷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3.其他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rFonts w:hint="eastAsia"/>
                <w:color w:val="auto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rFonts w:hint="eastAsia"/>
                <w:color w:val="auto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rFonts w:hint="eastAsia"/>
                <w:color w:val="auto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rFonts w:hint="eastAsia"/>
                <w:color w:val="auto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rFonts w:hint="eastAsia"/>
                <w:color w:val="auto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rFonts w:hint="eastAsia"/>
                <w:color w:val="auto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rFonts w:hint="eastAsia"/>
                <w:color w:val="auto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textAlignment w:val="auto"/>
              <w:outlineLvl w:val="9"/>
              <w:rPr>
                <w:rFonts w:ascii="宋体"/>
                <w:color w:val="auto"/>
                <w:sz w:val="24"/>
                <w:highlight w:val="none"/>
              </w:rPr>
            </w:pPr>
          </w:p>
        </w:tc>
        <w:tc>
          <w:tcPr>
            <w:tcW w:w="42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0"/>
                <w:szCs w:val="20"/>
                <w:highlight w:val="none"/>
              </w:rPr>
              <w:t>（七）总计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477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</w:rPr>
              <w:t>四、结转下年度继续办理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rFonts w:ascii="宋体"/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</w:t>
            </w:r>
          </w:p>
        </w:tc>
      </w:tr>
    </w:tbl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20"/>
        <w:jc w:val="both"/>
        <w:textAlignment w:val="auto"/>
        <w:outlineLvl w:val="9"/>
        <w:rPr>
          <w:rFonts w:ascii="宋体" w:hAnsi="宋体" w:eastAsia="宋体" w:cs="宋体"/>
          <w:color w:val="auto"/>
          <w:highlight w:val="none"/>
        </w:rPr>
      </w:pPr>
    </w:p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20"/>
        <w:jc w:val="both"/>
        <w:textAlignment w:val="auto"/>
        <w:outlineLvl w:val="9"/>
        <w:rPr>
          <w:rFonts w:ascii="黑体" w:hAnsi="黑体" w:eastAsia="黑体" w:cs="宋体"/>
          <w:color w:val="auto"/>
          <w:sz w:val="32"/>
          <w:szCs w:val="32"/>
          <w:highlight w:val="none"/>
        </w:rPr>
      </w:pPr>
      <w:r>
        <w:rPr>
          <w:rFonts w:hint="eastAsia" w:ascii="黑体" w:hAnsi="黑体" w:eastAsia="黑体" w:cs="宋体"/>
          <w:color w:val="auto"/>
          <w:sz w:val="32"/>
          <w:szCs w:val="32"/>
          <w:highlight w:val="none"/>
          <w:shd w:val="clear" w:color="auto" w:fill="FFFFFF"/>
        </w:rPr>
        <w:t>四、政府信息公开行政复议、行政诉讼情况</w:t>
      </w:r>
    </w:p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20"/>
        <w:jc w:val="both"/>
        <w:textAlignment w:val="auto"/>
        <w:outlineLvl w:val="9"/>
        <w:rPr>
          <w:rFonts w:ascii="宋体" w:hAnsi="宋体" w:eastAsia="宋体" w:cs="宋体"/>
          <w:color w:val="auto"/>
          <w:highlight w:val="none"/>
        </w:rPr>
      </w:pPr>
    </w:p>
    <w:tbl>
      <w:tblPr>
        <w:tblStyle w:val="16"/>
        <w:tblW w:w="9071" w:type="dxa"/>
        <w:jc w:val="center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  <w:jc w:val="center"/>
        </w:trPr>
        <w:tc>
          <w:tcPr>
            <w:tcW w:w="307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</w:rPr>
              <w:t>行政诉讼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60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-149" w:leftChars="-71" w:right="-170" w:rightChars="-81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</w:rPr>
              <w:t>结果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-149" w:leftChars="-71" w:right="-170" w:rightChars="-81"/>
              <w:jc w:val="center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</w:rPr>
              <w:t>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-44" w:leftChars="-21" w:right="-132" w:rightChars="-63"/>
              <w:jc w:val="center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-82" w:leftChars="-39" w:right="-97" w:rightChars="-46"/>
              <w:jc w:val="center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-118" w:leftChars="-56" w:right="-118" w:rightChars="-56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</w:rPr>
              <w:t>尚未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-118" w:leftChars="-56" w:right="-118" w:rightChars="-56"/>
              <w:jc w:val="center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</w:rPr>
              <w:t>审结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</w:rPr>
              <w:t>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</w:rPr>
              <w:t>计</w:t>
            </w:r>
          </w:p>
        </w:tc>
        <w:tc>
          <w:tcPr>
            <w:tcW w:w="297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</w:rPr>
              <w:t>复议后起诉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6" w:hRule="atLeast"/>
          <w:jc w:val="center"/>
        </w:trPr>
        <w:tc>
          <w:tcPr>
            <w:tcW w:w="60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textAlignment w:val="auto"/>
              <w:outlineLvl w:val="9"/>
              <w:rPr>
                <w:rFonts w:ascii="宋体"/>
                <w:color w:val="auto"/>
                <w:sz w:val="24"/>
                <w:highlight w:val="none"/>
              </w:rPr>
            </w:pPr>
          </w:p>
        </w:tc>
        <w:tc>
          <w:tcPr>
            <w:tcW w:w="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textAlignment w:val="auto"/>
              <w:outlineLvl w:val="9"/>
              <w:rPr>
                <w:rFonts w:ascii="宋体"/>
                <w:color w:val="auto"/>
                <w:sz w:val="24"/>
                <w:highlight w:val="none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textAlignment w:val="auto"/>
              <w:outlineLvl w:val="9"/>
              <w:rPr>
                <w:rFonts w:ascii="宋体"/>
                <w:color w:val="auto"/>
                <w:sz w:val="24"/>
                <w:highlight w:val="none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textAlignment w:val="auto"/>
              <w:outlineLvl w:val="9"/>
              <w:rPr>
                <w:rFonts w:ascii="宋体"/>
                <w:color w:val="auto"/>
                <w:sz w:val="24"/>
                <w:highlight w:val="none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textAlignment w:val="auto"/>
              <w:outlineLvl w:val="9"/>
              <w:rPr>
                <w:rFonts w:ascii="宋体"/>
                <w:color w:val="auto"/>
                <w:sz w:val="24"/>
                <w:highlight w:val="none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-105" w:leftChars="-50" w:right="-126" w:rightChars="-60"/>
              <w:jc w:val="center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-86" w:leftChars="-41" w:right="-88" w:rightChars="-42"/>
              <w:jc w:val="center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-126" w:leftChars="-60" w:right="-136" w:rightChars="-65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</w:rPr>
              <w:t>其他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-126" w:leftChars="-60" w:right="-136" w:rightChars="-65"/>
              <w:jc w:val="center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</w:rPr>
              <w:t>结果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-164" w:leftChars="-78" w:right="-153" w:rightChars="-73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</w:rPr>
              <w:t>尚未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-164" w:leftChars="-78" w:right="-153" w:rightChars="-73"/>
              <w:jc w:val="center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</w:rPr>
              <w:t>审结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</w:rPr>
              <w:t>总计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-99" w:leftChars="-47" w:right="-78" w:rightChars="-37"/>
              <w:jc w:val="center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</w:rPr>
              <w:t>结果维持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-136" w:leftChars="-65" w:right="-124" w:rightChars="-59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</w:rPr>
              <w:t>结果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-136" w:leftChars="-65" w:right="-124" w:rightChars="-59"/>
              <w:jc w:val="center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</w:rPr>
              <w:t>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-174" w:leftChars="-83" w:right="-134" w:rightChars="-64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</w:rPr>
              <w:t>其他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-174" w:leftChars="-83" w:right="-134" w:rightChars="-64"/>
              <w:jc w:val="center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</w:rPr>
              <w:t>结果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-67" w:leftChars="-33" w:right="-105" w:rightChars="-50" w:hanging="2" w:hangingChars="1"/>
              <w:jc w:val="center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</w:rPr>
              <w:t>尚未审结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  <w:r>
              <w:rPr>
                <w:rFonts w:ascii="Calibri" w:hAnsi="Calibri" w:cs="Calibri"/>
                <w:color w:val="auto"/>
                <w:kern w:val="0"/>
                <w:sz w:val="20"/>
                <w:szCs w:val="20"/>
                <w:highlight w:val="none"/>
              </w:rPr>
              <w:t> 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rFonts w:hint="eastAsia" w:eastAsia="宋体"/>
                <w:color w:val="auto"/>
                <w:highlight w:val="none"/>
                <w:lang w:val="en-US" w:eastAsia="zh-CN"/>
              </w:rPr>
            </w:pPr>
            <w:r>
              <w:rPr>
                <w:rFonts w:ascii="Calibri" w:hAnsi="Calibri" w:cs="Calibri"/>
                <w:color w:val="auto"/>
                <w:kern w:val="0"/>
                <w:sz w:val="20"/>
                <w:szCs w:val="20"/>
                <w:highlight w:val="none"/>
              </w:rPr>
              <w:t> </w:t>
            </w: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  <w:r>
              <w:rPr>
                <w:rFonts w:ascii="Calibri" w:hAnsi="Calibri" w:cs="Calibri"/>
                <w:color w:val="auto"/>
                <w:kern w:val="0"/>
                <w:sz w:val="20"/>
                <w:szCs w:val="20"/>
                <w:highlight w:val="none"/>
              </w:rPr>
              <w:t> 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rFonts w:hint="eastAsia" w:eastAsia="宋体"/>
                <w:color w:val="auto"/>
                <w:highlight w:val="none"/>
                <w:lang w:val="en-US" w:eastAsia="zh-CN"/>
              </w:rPr>
            </w:pPr>
            <w:r>
              <w:rPr>
                <w:rFonts w:ascii="Calibri" w:hAnsi="Calibri" w:cs="Calibri"/>
                <w:color w:val="auto"/>
                <w:kern w:val="0"/>
                <w:sz w:val="20"/>
                <w:szCs w:val="20"/>
                <w:highlight w:val="none"/>
              </w:rPr>
              <w:t> </w:t>
            </w: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  <w:r>
              <w:rPr>
                <w:rFonts w:ascii="Calibri" w:hAnsi="Calibri" w:cs="Calibri"/>
                <w:color w:val="auto"/>
                <w:kern w:val="0"/>
                <w:sz w:val="20"/>
                <w:szCs w:val="20"/>
                <w:highlight w:val="none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rFonts w:hint="eastAsia" w:eastAsia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</w:rPr>
              <w:t> 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rFonts w:hint="eastAsia" w:eastAsia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</w:rPr>
              <w:t> 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rFonts w:hint="eastAsia" w:eastAsia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</w:rPr>
              <w:t> 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rFonts w:hint="eastAsia" w:eastAsia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</w:rPr>
              <w:t> 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rFonts w:hint="eastAsia" w:eastAsia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</w:rPr>
              <w:t> 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rFonts w:hint="eastAsia" w:eastAsia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</w:rPr>
              <w:t> 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rFonts w:hint="eastAsia" w:eastAsia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</w:rPr>
              <w:t> 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outlineLvl w:val="9"/>
              <w:rPr>
                <w:rFonts w:hint="eastAsia" w:eastAsia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</w:rPr>
              <w:t> 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textAlignment w:val="auto"/>
              <w:outlineLvl w:val="9"/>
              <w:rPr>
                <w:rFonts w:hint="default" w:ascii="宋体" w:eastAsia="宋体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</w:rPr>
              <w:t> 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0" w:firstLine="320" w:firstLineChars="100"/>
        <w:textAlignment w:val="auto"/>
        <w:outlineLvl w:val="9"/>
        <w:rPr>
          <w:rFonts w:hint="eastAsia" w:ascii="仿宋_GB2312" w:hAnsi="宋体" w:eastAsia="仿宋_GB2312" w:cs="宋体"/>
          <w:color w:val="auto"/>
          <w:kern w:val="0"/>
          <w:sz w:val="32"/>
          <w:szCs w:val="32"/>
          <w:highlight w:val="none"/>
        </w:rPr>
      </w:pPr>
      <w:r>
        <w:rPr>
          <w:rFonts w:hint="eastAsia" w:ascii="黑体" w:hAnsi="黑体" w:eastAsia="黑体" w:cs="宋体"/>
          <w:color w:val="auto"/>
          <w:kern w:val="0"/>
          <w:sz w:val="32"/>
          <w:szCs w:val="32"/>
          <w:highlight w:val="none"/>
        </w:rPr>
        <w:t>五、存在的主要问题及改进情况</w:t>
      </w:r>
      <w:r>
        <w:rPr>
          <w:rFonts w:ascii="宋体" w:hAnsi="宋体" w:eastAsia="宋体" w:cs="宋体"/>
          <w:color w:val="auto"/>
          <w:kern w:val="0"/>
          <w:sz w:val="32"/>
          <w:szCs w:val="32"/>
          <w:highlight w:val="none"/>
        </w:rPr>
        <w:t>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0" w:firstLine="707" w:firstLineChars="221"/>
        <w:textAlignment w:val="auto"/>
        <w:outlineLvl w:val="9"/>
        <w:rPr>
          <w:rFonts w:ascii="宋体" w:hAnsi="宋体" w:eastAsia="宋体" w:cs="宋体"/>
          <w:color w:val="auto"/>
          <w:kern w:val="0"/>
          <w:sz w:val="32"/>
          <w:szCs w:val="32"/>
          <w:highlight w:val="none"/>
        </w:rPr>
      </w:pPr>
      <w:r>
        <w:rPr>
          <w:rFonts w:hint="eastAsia" w:ascii="楷体_GB2312" w:hAnsi="宋体" w:eastAsia="楷体_GB2312" w:cs="宋体"/>
          <w:color w:val="auto"/>
          <w:kern w:val="0"/>
          <w:sz w:val="32"/>
          <w:szCs w:val="32"/>
          <w:highlight w:val="none"/>
          <w:lang w:val="en-US" w:eastAsia="zh-CN"/>
        </w:rPr>
        <w:t>（一）</w:t>
      </w:r>
      <w:r>
        <w:rPr>
          <w:rFonts w:hint="eastAsia" w:ascii="楷体_GB2312" w:hAnsi="宋体" w:eastAsia="楷体_GB2312" w:cs="宋体"/>
          <w:color w:val="auto"/>
          <w:kern w:val="0"/>
          <w:sz w:val="32"/>
          <w:szCs w:val="32"/>
          <w:highlight w:val="none"/>
        </w:rPr>
        <w:t>存在的主要问题</w:t>
      </w:r>
      <w:r>
        <w:rPr>
          <w:rFonts w:hint="eastAsia" w:ascii="楷体_GB2312" w:hAnsi="宋体" w:eastAsia="楷体_GB2312" w:cs="宋体"/>
          <w:color w:val="auto"/>
          <w:kern w:val="0"/>
          <w:sz w:val="32"/>
          <w:szCs w:val="32"/>
          <w:highlight w:val="none"/>
          <w:lang w:eastAsia="zh-CN"/>
        </w:rPr>
        <w:t>：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highlight w:val="none"/>
        </w:rPr>
        <w:t>一是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highlight w:val="none"/>
          <w:lang w:eastAsia="zh-CN"/>
        </w:rPr>
        <w:t>部分政务信息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highlight w:val="none"/>
        </w:rPr>
        <w:t>更新不及时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highlight w:val="none"/>
        </w:rPr>
        <w:t>；二是信息公开的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highlight w:val="none"/>
          <w:lang w:eastAsia="zh-CN"/>
        </w:rPr>
        <w:t>质量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highlight w:val="none"/>
        </w:rPr>
        <w:t>有待进一步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highlight w:val="none"/>
          <w:lang w:eastAsia="zh-CN"/>
        </w:rPr>
        <w:t>优化提升，提高信息公开的广度和深度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highlight w:val="none"/>
        </w:rPr>
        <w:t>；三是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highlight w:val="none"/>
          <w:lang w:eastAsia="zh-CN"/>
        </w:rPr>
        <w:t>极少数人员对政务公开的认识存在不足</w:t>
      </w:r>
      <w:r>
        <w:rPr>
          <w:rFonts w:hint="eastAsia" w:ascii="楷体_GB2312" w:hAnsi="楷体_GB2312" w:eastAsia="楷体_GB2312" w:cs="楷体_GB2312"/>
          <w:sz w:val="32"/>
          <w:szCs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left"/>
        <w:textAlignment w:val="auto"/>
        <w:outlineLvl w:val="9"/>
        <w:rPr>
          <w:rFonts w:hint="eastAsia" w:ascii="仿宋_GB2312" w:hAnsi="宋体" w:eastAsia="仿宋_GB2312" w:cs="宋体"/>
          <w:color w:val="auto"/>
          <w:kern w:val="0"/>
          <w:sz w:val="32"/>
          <w:szCs w:val="32"/>
          <w:highlight w:val="none"/>
        </w:rPr>
      </w:pPr>
      <w:r>
        <w:rPr>
          <w:rFonts w:hint="eastAsia" w:ascii="楷体_GB2312" w:hAnsi="宋体" w:eastAsia="楷体_GB2312" w:cs="宋体"/>
          <w:color w:val="auto"/>
          <w:kern w:val="0"/>
          <w:sz w:val="32"/>
          <w:szCs w:val="32"/>
          <w:highlight w:val="none"/>
          <w:lang w:eastAsia="zh-CN"/>
        </w:rPr>
        <w:t>（二）</w:t>
      </w:r>
      <w:r>
        <w:rPr>
          <w:rFonts w:hint="eastAsia" w:ascii="楷体_GB2312" w:hAnsi="宋体" w:eastAsia="楷体_GB2312" w:cs="宋体"/>
          <w:color w:val="auto"/>
          <w:kern w:val="0"/>
          <w:sz w:val="32"/>
          <w:szCs w:val="32"/>
          <w:highlight w:val="none"/>
        </w:rPr>
        <w:t>改进措施</w:t>
      </w:r>
      <w:r>
        <w:rPr>
          <w:rFonts w:hint="eastAsia" w:ascii="楷体_GB2312" w:hAnsi="宋体" w:eastAsia="楷体_GB2312" w:cs="宋体"/>
          <w:color w:val="auto"/>
          <w:kern w:val="0"/>
          <w:sz w:val="32"/>
          <w:szCs w:val="32"/>
          <w:highlight w:val="none"/>
          <w:lang w:eastAsia="zh-CN"/>
        </w:rPr>
        <w:t>：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highlight w:val="none"/>
          <w:lang w:eastAsia="zh-CN"/>
        </w:rPr>
        <w:t>一是定期开展政务公开工作碰头会，及时协调各科室，加大政务信息的收集力度，确保政务信息及时公开。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highlight w:val="none"/>
        </w:rPr>
        <w:t>二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highlight w:val="none"/>
          <w:lang w:eastAsia="zh-CN"/>
        </w:rPr>
        <w:t>是加强定期维护，并对本部门出台的文件进行多角度解读，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highlight w:val="none"/>
        </w:rPr>
        <w:t>便于公众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highlight w:val="none"/>
          <w:lang w:eastAsia="zh-CN"/>
        </w:rPr>
        <w:t>充分理解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highlight w:val="none"/>
        </w:rPr>
        <w:t>。三是积极开展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highlight w:val="none"/>
          <w:lang w:eastAsia="zh-CN"/>
        </w:rPr>
        <w:t>本部门政务公开工作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highlight w:val="none"/>
        </w:rPr>
        <w:t>培训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highlight w:val="none"/>
          <w:lang w:eastAsia="zh-CN"/>
        </w:rPr>
        <w:t>，注重政务公开工作的考核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highlight w:val="none"/>
        </w:rPr>
        <w:t>。认真组织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highlight w:val="none"/>
          <w:lang w:eastAsia="zh-CN"/>
        </w:rPr>
        <w:t>人员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highlight w:val="none"/>
        </w:rPr>
        <w:t>学习《中华人民共和国政府信息公开条例》和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highlight w:val="none"/>
          <w:lang w:eastAsia="zh-CN"/>
        </w:rPr>
        <w:t>区政府印发的政务公开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highlight w:val="none"/>
        </w:rPr>
        <w:t>相关文件，不断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highlight w:val="none"/>
          <w:lang w:eastAsia="zh-CN"/>
        </w:rPr>
        <w:t>加深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highlight w:val="none"/>
        </w:rPr>
        <w:t>对政务公开工作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highlight w:val="none"/>
          <w:lang w:eastAsia="zh-CN"/>
        </w:rPr>
        <w:t>的认识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highlight w:val="none"/>
        </w:rPr>
        <w:t>，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highlight w:val="none"/>
          <w:lang w:eastAsia="zh-CN"/>
        </w:rPr>
        <w:t>提高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highlight w:val="none"/>
        </w:rPr>
        <w:t>政务公开的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highlight w:val="none"/>
          <w:lang w:eastAsia="zh-CN"/>
        </w:rPr>
        <w:t>标准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highlight w:val="none"/>
        </w:rPr>
        <w:t>，全面提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highlight w:val="none"/>
          <w:lang w:eastAsia="zh-CN"/>
        </w:rPr>
        <w:t>升政务公开工作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highlight w:val="none"/>
        </w:rPr>
        <w:t>人员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highlight w:val="none"/>
          <w:lang w:eastAsia="zh-CN"/>
        </w:rPr>
        <w:t>工作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highlight w:val="none"/>
        </w:rPr>
        <w:t>能力和业务水平。</w:t>
      </w:r>
    </w:p>
    <w:p>
      <w:pPr>
        <w:pStyle w:val="2"/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538"/>
        <w:jc w:val="left"/>
        <w:textAlignment w:val="auto"/>
        <w:outlineLvl w:val="9"/>
        <w:rPr>
          <w:rFonts w:hint="eastAsia" w:ascii="黑体" w:hAnsi="黑体" w:eastAsia="黑体" w:cs="宋体"/>
          <w:color w:val="auto"/>
          <w:kern w:val="0"/>
          <w:sz w:val="32"/>
          <w:szCs w:val="32"/>
          <w:highlight w:val="none"/>
        </w:rPr>
      </w:pPr>
      <w:r>
        <w:rPr>
          <w:rFonts w:hint="eastAsia" w:ascii="黑体" w:hAnsi="黑体" w:eastAsia="黑体" w:cs="宋体"/>
          <w:color w:val="auto"/>
          <w:kern w:val="0"/>
          <w:sz w:val="32"/>
          <w:szCs w:val="32"/>
          <w:highlight w:val="none"/>
        </w:rPr>
        <w:t>六、其他需要报告事项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left"/>
        <w:textAlignment w:val="auto"/>
        <w:outlineLvl w:val="9"/>
        <w:rPr>
          <w:rFonts w:hint="eastAsia" w:ascii="仿宋_GB2312" w:hAnsi="宋体" w:eastAsia="仿宋_GB2312" w:cs="宋体"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highlight w:val="none"/>
          <w:lang w:val="en-US" w:eastAsia="zh-CN"/>
        </w:rPr>
        <w:t>人大代表建议和政协委员提案办理及吸收采纳情。2021年共承办政协委员会提案8件，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highlight w:val="none"/>
        </w:rPr>
        <w:t>其中，涉及全区市场体系建设的2件，涉及电商发展的2件，涉及全区服务业的4件。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highlight w:val="none"/>
          <w:lang w:val="en-US" w:eastAsia="zh-CN"/>
        </w:rPr>
        <w:t>人大代表建议0件。办理结果为：已列入计划拟解决6件,留作参考2件。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left"/>
        <w:textAlignment w:val="auto"/>
        <w:outlineLvl w:val="9"/>
        <w:rPr>
          <w:rFonts w:hint="eastAsia" w:ascii="仿宋_GB2312" w:hAnsi="宋体" w:eastAsia="仿宋_GB2312" w:cs="宋体"/>
          <w:color w:val="auto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left"/>
        <w:textAlignment w:val="auto"/>
        <w:outlineLvl w:val="9"/>
        <w:rPr>
          <w:rFonts w:hint="eastAsia" w:ascii="仿宋_GB2312" w:hAnsi="宋体" w:eastAsia="仿宋_GB2312" w:cs="宋体"/>
          <w:color w:val="auto"/>
          <w:kern w:val="0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highlight w:val="none"/>
          <w:lang w:val="en-US" w:eastAsia="zh-CN" w:bidi="ar-SA"/>
        </w:rPr>
        <w:t> 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outlineLvl w:val="9"/>
        <w:rPr>
          <w:color w:val="auto"/>
          <w:sz w:val="32"/>
          <w:szCs w:val="32"/>
          <w:highlight w:val="none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GulimChe">
    <w:panose1 w:val="020B0609000101010101"/>
    <w:charset w:val="81"/>
    <w:family w:val="auto"/>
    <w:pitch w:val="default"/>
    <w:sig w:usb0="B00002AF" w:usb1="69D77CFB" w:usb2="00000030" w:usb3="00000000" w:csb0="4008009F" w:csb1="DFD70000"/>
  </w:font>
  <w:font w:name="Meiryo">
    <w:panose1 w:val="020B0604030504040204"/>
    <w:charset w:val="80"/>
    <w:family w:val="auto"/>
    <w:pitch w:val="default"/>
    <w:sig w:usb0="E10102FF" w:usb1="EAC7FFFF" w:usb2="00010012" w:usb3="00000000" w:csb0="6002009F" w:csb1="DFD70000"/>
  </w:font>
  <w:font w:name="MingLiU">
    <w:panose1 w:val="02020509000000000000"/>
    <w:charset w:val="88"/>
    <w:family w:val="auto"/>
    <w:pitch w:val="default"/>
    <w:sig w:usb0="A00002FF" w:usb1="28CFFCFA" w:usb2="00000016" w:usb3="00000000" w:csb0="00100001" w:csb1="00000000"/>
  </w:font>
  <w:font w:name="Microsoft JhengHei">
    <w:panose1 w:val="020B0604030504040204"/>
    <w:charset w:val="88"/>
    <w:family w:val="auto"/>
    <w:pitch w:val="default"/>
    <w:sig w:usb0="00000087" w:usb1="28AF4000" w:usb2="00000016" w:usb3="00000000" w:csb0="00100009" w:csb1="00000000"/>
  </w:font>
  <w:font w:name="Meiryo UI">
    <w:panose1 w:val="020B0604030504040204"/>
    <w:charset w:val="80"/>
    <w:family w:val="auto"/>
    <w:pitch w:val="default"/>
    <w:sig w:usb0="E10102FF" w:usb1="EAC7FFFF" w:usb2="00010012" w:usb3="00000000" w:csb0="6002009F" w:csb1="DFD70000"/>
  </w:font>
  <w:font w:name="Wingdings 3">
    <w:panose1 w:val="05040102010807070707"/>
    <w:charset w:val="00"/>
    <w:family w:val="auto"/>
    <w:pitch w:val="default"/>
    <w:sig w:usb0="00000000" w:usb1="00000000" w:usb2="00000000" w:usb3="00000000" w:csb0="8000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Wide Latin">
    <w:panose1 w:val="020A0A07050505020404"/>
    <w:charset w:val="00"/>
    <w:family w:val="auto"/>
    <w:pitch w:val="default"/>
    <w:sig w:usb0="00000003" w:usb1="00000000" w:usb2="00000000" w:usb3="00000000" w:csb0="20000001" w:csb1="00000000"/>
  </w:font>
  <w:font w:name="Webdings">
    <w:panose1 w:val="05030102010509060703"/>
    <w:charset w:val="00"/>
    <w:family w:val="auto"/>
    <w:pitch w:val="default"/>
    <w:sig w:usb0="00000000" w:usb1="00000000" w:usb2="00000000" w:usb3="00000000" w:csb0="80000000" w:csb1="00000000"/>
  </w:font>
  <w:font w:name="Perpetua Titling MT">
    <w:panose1 w:val="02020502060505020804"/>
    <w:charset w:val="00"/>
    <w:family w:val="auto"/>
    <w:pitch w:val="default"/>
    <w:sig w:usb0="00000003" w:usb1="00000000" w:usb2="00000000" w:usb3="00000000" w:csb0="20000001" w:csb1="00000000"/>
  </w:font>
  <w:font w:name="Microsoft Uighur">
    <w:panose1 w:val="02000000000000000000"/>
    <w:charset w:val="00"/>
    <w:family w:val="auto"/>
    <w:pitch w:val="default"/>
    <w:sig w:usb0="00002003" w:usb1="80000000" w:usb2="00000008" w:usb3="00000000" w:csb0="00000041" w:csb1="00000000"/>
  </w:font>
  <w:font w:name="Microsoft Yi Baiti">
    <w:panose1 w:val="03000500000000000000"/>
    <w:charset w:val="00"/>
    <w:family w:val="auto"/>
    <w:pitch w:val="default"/>
    <w:sig w:usb0="80000003" w:usb1="00010402" w:usb2="00080002" w:usb3="00000000" w:csb0="00000001" w:csb1="00000000"/>
  </w:font>
  <w:font w:name="Microsoft New Tai Lue">
    <w:panose1 w:val="020B0502040204020203"/>
    <w:charset w:val="00"/>
    <w:family w:val="auto"/>
    <w:pitch w:val="default"/>
    <w:sig w:usb0="00000003" w:usb1="00000000" w:usb2="80000000" w:usb3="00000000" w:csb0="00000001" w:csb1="00000000"/>
  </w:font>
  <w:font w:name="Microsoft Himalaya">
    <w:panose1 w:val="01010100010101010101"/>
    <w:charset w:val="00"/>
    <w:family w:val="auto"/>
    <w:pitch w:val="default"/>
    <w:sig w:usb0="80000003" w:usb1="00010000" w:usb2="00000040" w:usb3="00000000" w:csb0="00000001" w:csb1="00000000"/>
  </w:font>
  <w:font w:name="Matura MT Script Capitals">
    <w:panose1 w:val="03020802060602070202"/>
    <w:charset w:val="00"/>
    <w:family w:val="auto"/>
    <w:pitch w:val="default"/>
    <w:sig w:usb0="00000003" w:usb1="00000000" w:usb2="00000000" w:usb3="00000000" w:csb0="20000001" w:csb1="00000000"/>
  </w:font>
  <w:font w:name="Marlett">
    <w:panose1 w:val="00000000000000000000"/>
    <w:charset w:val="00"/>
    <w:family w:val="auto"/>
    <w:pitch w:val="default"/>
    <w:sig w:usb0="00000000" w:usb1="00000000" w:usb2="00000000" w:usb3="00000000" w:csb0="80000000" w:csb1="00000000"/>
  </w:font>
  <w:font w:name="Lucida Sans Typewriter">
    <w:panose1 w:val="020B0509030504030204"/>
    <w:charset w:val="00"/>
    <w:family w:val="auto"/>
    <w:pitch w:val="default"/>
    <w:sig w:usb0="00000003" w:usb1="00000000" w:usb2="00000000" w:usb3="00000000" w:csb0="20000001" w:csb1="00000000"/>
  </w:font>
  <w:font w:name="Lucida Fax">
    <w:panose1 w:val="02060602050505020204"/>
    <w:charset w:val="00"/>
    <w:family w:val="auto"/>
    <w:pitch w:val="default"/>
    <w:sig w:usb0="00000003" w:usb1="00000000" w:usb2="00000000" w:usb3="00000000" w:csb0="20000001" w:csb1="00000000"/>
  </w:font>
  <w:font w:name="Khmer UI">
    <w:panose1 w:val="020B0502040204020203"/>
    <w:charset w:val="00"/>
    <w:family w:val="auto"/>
    <w:pitch w:val="default"/>
    <w:sig w:usb0="8000002F" w:usb1="0000204A" w:usb2="00010000" w:usb3="00000000" w:csb0="00000001" w:csb1="00000000"/>
  </w:font>
  <w:font w:name="KodchiangUPC">
    <w:panose1 w:val="02020603050405020304"/>
    <w:charset w:val="00"/>
    <w:family w:val="auto"/>
    <w:pitch w:val="default"/>
    <w:sig w:usb0="01000007" w:usb1="00000002" w:usb2="00000000" w:usb3="00000000" w:csb0="00010001" w:csb1="00000000"/>
  </w:font>
  <w:font w:name="Kokila">
    <w:panose1 w:val="020B0604020202020204"/>
    <w:charset w:val="00"/>
    <w:family w:val="auto"/>
    <w:pitch w:val="default"/>
    <w:sig w:usb0="00008003" w:usb1="00000000" w:usb2="00000000" w:usb3="00000000" w:csb0="00000001" w:csb1="00000000"/>
  </w:font>
  <w:font w:name="Kristen ITC">
    <w:panose1 w:val="03050502040202030202"/>
    <w:charset w:val="00"/>
    <w:family w:val="auto"/>
    <w:pitch w:val="default"/>
    <w:sig w:usb0="00000003" w:usb1="00000000" w:usb2="00000000" w:usb3="00000000" w:csb0="20000001" w:csb1="00000000"/>
  </w:font>
  <w:font w:name="Kunstler Script">
    <w:panose1 w:val="030304020206070D0D06"/>
    <w:charset w:val="00"/>
    <w:family w:val="auto"/>
    <w:pitch w:val="default"/>
    <w:sig w:usb0="00000003" w:usb1="00000000" w:usb2="00000000" w:usb3="00000000" w:csb0="20000001" w:csb1="00000000"/>
  </w:font>
  <w:font w:name="Juice ITC">
    <w:panose1 w:val="04040403040A02020202"/>
    <w:charset w:val="00"/>
    <w:family w:val="auto"/>
    <w:pitch w:val="default"/>
    <w:sig w:usb0="00000003" w:usb1="00000000" w:usb2="00000000" w:usb3="00000000" w:csb0="20000001" w:csb1="00000000"/>
  </w:font>
  <w:font w:name="Imprint MT Shadow">
    <w:panose1 w:val="04020605060303030202"/>
    <w:charset w:val="00"/>
    <w:family w:val="auto"/>
    <w:pitch w:val="default"/>
    <w:sig w:usb0="00000003" w:usb1="00000000" w:usb2="00000000" w:usb3="00000000" w:csb0="20000001" w:csb1="00000000"/>
  </w:font>
  <w:font w:name="Haettenschweiler">
    <w:panose1 w:val="020B0706040902060204"/>
    <w:charset w:val="00"/>
    <w:family w:val="auto"/>
    <w:pitch w:val="default"/>
    <w:sig w:usb0="00000287" w:usb1="00000000" w:usb2="00000000" w:usb3="00000000" w:csb0="2000009F" w:csb1="DFD70000"/>
  </w:font>
  <w:font w:name="Goudy Stout">
    <w:panose1 w:val="0202090407030B020401"/>
    <w:charset w:val="00"/>
    <w:family w:val="auto"/>
    <w:pitch w:val="default"/>
    <w:sig w:usb0="00000003" w:usb1="00000000" w:usb2="00000000" w:usb3="00000000" w:csb0="20000001" w:csb1="00000000"/>
  </w:font>
  <w:font w:name="Goudy Old Style">
    <w:panose1 w:val="02020502050305020303"/>
    <w:charset w:val="00"/>
    <w:family w:val="auto"/>
    <w:pitch w:val="default"/>
    <w:sig w:usb0="00000003" w:usb1="00000000" w:usb2="00000000" w:usb3="00000000" w:csb0="20000001" w:csb1="00000000"/>
  </w:font>
  <w:font w:name="Gloucester MT Extra Condensed">
    <w:panose1 w:val="02030808020601010101"/>
    <w:charset w:val="00"/>
    <w:family w:val="auto"/>
    <w:pitch w:val="default"/>
    <w:sig w:usb0="00000003" w:usb1="00000000" w:usb2="00000000" w:usb3="00000000" w:csb0="20000001" w:csb1="00000000"/>
  </w:font>
  <w:font w:name="Gisha">
    <w:panose1 w:val="020B0502040204020203"/>
    <w:charset w:val="00"/>
    <w:family w:val="auto"/>
    <w:pitch w:val="default"/>
    <w:sig w:usb0="80000807" w:usb1="40000042" w:usb2="00000000" w:usb3="00000000" w:csb0="00000021" w:csb1="00000000"/>
  </w:font>
  <w:font w:name="Gill Sans Ultra Bold Condensed">
    <w:panose1 w:val="020B0A06020104020203"/>
    <w:charset w:val="00"/>
    <w:family w:val="auto"/>
    <w:pitch w:val="default"/>
    <w:sig w:usb0="00000003" w:usb1="00000000" w:usb2="00000000" w:usb3="00000000" w:csb0="00000003" w:csb1="00000000"/>
  </w:font>
  <w:font w:name="Gill Sans Ultra Bold">
    <w:panose1 w:val="020B0A02020104020203"/>
    <w:charset w:val="00"/>
    <w:family w:val="auto"/>
    <w:pitch w:val="default"/>
    <w:sig w:usb0="00000003" w:usb1="00000000" w:usb2="00000000" w:usb3="00000000" w:csb0="20000003" w:csb1="00000000"/>
  </w:font>
  <w:font w:name="Eras Demi ITC">
    <w:panose1 w:val="020B0805030504020804"/>
    <w:charset w:val="00"/>
    <w:family w:val="auto"/>
    <w:pitch w:val="default"/>
    <w:sig w:usb0="00000003" w:usb1="00000000" w:usb2="00000000" w:usb3="00000000" w:csb0="20000001" w:csb1="00000000"/>
  </w:font>
  <w:font w:name="DokChampa">
    <w:panose1 w:val="020B0604020202020204"/>
    <w:charset w:val="00"/>
    <w:family w:val="auto"/>
    <w:pitch w:val="default"/>
    <w:sig w:usb0="03000003" w:usb1="00000000" w:usb2="00000000" w:usb3="00000000" w:csb0="4001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22837CD"/>
    <w:multiLevelType w:val="singleLevel"/>
    <w:tmpl w:val="622837CD"/>
    <w:lvl w:ilvl="0" w:tentative="0">
      <w:start w:val="1"/>
      <w:numFmt w:val="chineseCounting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E10DB8"/>
    <w:rsid w:val="00684742"/>
    <w:rsid w:val="00817F8D"/>
    <w:rsid w:val="00A61CE9"/>
    <w:rsid w:val="00CE7FAC"/>
    <w:rsid w:val="00E10DB8"/>
    <w:rsid w:val="0267758E"/>
    <w:rsid w:val="03DA262B"/>
    <w:rsid w:val="083E0AD6"/>
    <w:rsid w:val="08B24274"/>
    <w:rsid w:val="09E931BE"/>
    <w:rsid w:val="0A451CD2"/>
    <w:rsid w:val="0A464DE0"/>
    <w:rsid w:val="0A4673AB"/>
    <w:rsid w:val="0A5D331E"/>
    <w:rsid w:val="0DE36CB3"/>
    <w:rsid w:val="0EDC2DB1"/>
    <w:rsid w:val="11EF0D99"/>
    <w:rsid w:val="15C00019"/>
    <w:rsid w:val="1A96711B"/>
    <w:rsid w:val="1B6F4138"/>
    <w:rsid w:val="1BA24816"/>
    <w:rsid w:val="1DAD3B6B"/>
    <w:rsid w:val="207B6202"/>
    <w:rsid w:val="2726482E"/>
    <w:rsid w:val="29473DF1"/>
    <w:rsid w:val="2A553023"/>
    <w:rsid w:val="2DF439D4"/>
    <w:rsid w:val="2E123086"/>
    <w:rsid w:val="308A11D6"/>
    <w:rsid w:val="30FD620F"/>
    <w:rsid w:val="32AD281F"/>
    <w:rsid w:val="340E7F0E"/>
    <w:rsid w:val="34370BD0"/>
    <w:rsid w:val="359110F9"/>
    <w:rsid w:val="36B306ED"/>
    <w:rsid w:val="39C73159"/>
    <w:rsid w:val="3DE35197"/>
    <w:rsid w:val="3E547E0B"/>
    <w:rsid w:val="45425DAF"/>
    <w:rsid w:val="4A684B07"/>
    <w:rsid w:val="4E043EBB"/>
    <w:rsid w:val="500B6982"/>
    <w:rsid w:val="514547C5"/>
    <w:rsid w:val="53011ACE"/>
    <w:rsid w:val="536713A0"/>
    <w:rsid w:val="588722AB"/>
    <w:rsid w:val="5ACB317F"/>
    <w:rsid w:val="5F0E7D66"/>
    <w:rsid w:val="61717BD1"/>
    <w:rsid w:val="63D64A7D"/>
    <w:rsid w:val="64730AAD"/>
    <w:rsid w:val="651C646F"/>
    <w:rsid w:val="6B3A495E"/>
    <w:rsid w:val="6B834B70"/>
    <w:rsid w:val="75DD7F67"/>
    <w:rsid w:val="79967A89"/>
    <w:rsid w:val="7B74701A"/>
    <w:rsid w:val="7BAC7105"/>
    <w:rsid w:val="7C475D8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qFormat="1" w:uiPriority="99" w:semiHidden="0" w:name="HTML Cite"/>
    <w:lsdException w:qFormat="1" w:uiPriority="99" w:semiHidden="0" w:name="HTML Code"/>
    <w:lsdException w:qFormat="1" w:uiPriority="99" w:semiHidden="0" w:name="HTML Definition"/>
    <w:lsdException w:qFormat="1" w:uiPriority="99" w:semiHidden="0" w:name="HTML Keyboard"/>
    <w:lsdException w:uiPriority="99" w:name="HTML Preformatted"/>
    <w:lsdException w:qFormat="1" w:uiPriority="99" w:semiHidden="0" w:name="HTML Sample"/>
    <w:lsdException w:uiPriority="99" w:name="HTML Typewriter"/>
    <w:lsdException w:qFormat="1" w:uiPriority="99" w:semiHidden="0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1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9"/>
    <w:basedOn w:val="1"/>
    <w:next w:val="1"/>
    <w:unhideWhenUsed/>
    <w:uiPriority w:val="99"/>
    <w:pPr>
      <w:spacing w:beforeLines="0" w:afterLines="0"/>
      <w:ind w:left="3360"/>
      <w:jc w:val="left"/>
    </w:pPr>
    <w:rPr>
      <w:rFonts w:hint="default" w:ascii="Times New Roman" w:hAnsi="Times New Roman"/>
      <w:sz w:val="21"/>
    </w:rPr>
  </w:style>
  <w:style w:type="paragraph" w:styleId="3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6">
    <w:name w:val="Strong"/>
    <w:basedOn w:val="5"/>
    <w:qFormat/>
    <w:uiPriority w:val="22"/>
    <w:rPr>
      <w:b/>
    </w:rPr>
  </w:style>
  <w:style w:type="character" w:styleId="7">
    <w:name w:val="FollowedHyperlink"/>
    <w:basedOn w:val="5"/>
    <w:unhideWhenUsed/>
    <w:qFormat/>
    <w:uiPriority w:val="99"/>
    <w:rPr>
      <w:color w:val="800080"/>
      <w:u w:val="none"/>
    </w:rPr>
  </w:style>
  <w:style w:type="character" w:styleId="8">
    <w:name w:val="Emphasis"/>
    <w:basedOn w:val="5"/>
    <w:qFormat/>
    <w:uiPriority w:val="20"/>
    <w:rPr>
      <w:b/>
    </w:rPr>
  </w:style>
  <w:style w:type="character" w:styleId="9">
    <w:name w:val="HTML Definition"/>
    <w:basedOn w:val="5"/>
    <w:unhideWhenUsed/>
    <w:qFormat/>
    <w:uiPriority w:val="99"/>
  </w:style>
  <w:style w:type="character" w:styleId="10">
    <w:name w:val="HTML Variable"/>
    <w:basedOn w:val="5"/>
    <w:unhideWhenUsed/>
    <w:qFormat/>
    <w:uiPriority w:val="99"/>
  </w:style>
  <w:style w:type="character" w:styleId="11">
    <w:name w:val="Hyperlink"/>
    <w:basedOn w:val="5"/>
    <w:unhideWhenUsed/>
    <w:qFormat/>
    <w:uiPriority w:val="99"/>
    <w:rPr>
      <w:color w:val="0000FF"/>
      <w:u w:val="none"/>
    </w:rPr>
  </w:style>
  <w:style w:type="character" w:styleId="12">
    <w:name w:val="HTML Code"/>
    <w:basedOn w:val="5"/>
    <w:unhideWhenUsed/>
    <w:qFormat/>
    <w:uiPriority w:val="99"/>
    <w:rPr>
      <w:rFonts w:ascii="Courier New" w:hAnsi="Courier New"/>
      <w:sz w:val="20"/>
    </w:rPr>
  </w:style>
  <w:style w:type="character" w:styleId="13">
    <w:name w:val="HTML Cite"/>
    <w:basedOn w:val="5"/>
    <w:unhideWhenUsed/>
    <w:qFormat/>
    <w:uiPriority w:val="99"/>
  </w:style>
  <w:style w:type="character" w:styleId="14">
    <w:name w:val="HTML Keyboard"/>
    <w:basedOn w:val="5"/>
    <w:unhideWhenUsed/>
    <w:qFormat/>
    <w:uiPriority w:val="99"/>
    <w:rPr>
      <w:rFonts w:ascii="Courier New" w:hAnsi="Courier New"/>
      <w:sz w:val="20"/>
    </w:rPr>
  </w:style>
  <w:style w:type="character" w:styleId="15">
    <w:name w:val="HTML Sample"/>
    <w:basedOn w:val="5"/>
    <w:unhideWhenUsed/>
    <w:qFormat/>
    <w:uiPriority w:val="99"/>
    <w:rPr>
      <w:rFonts w:ascii="Courier New" w:hAnsi="Courier New"/>
    </w:rPr>
  </w:style>
  <w:style w:type="character" w:customStyle="1" w:styleId="17">
    <w:name w:val="hover8"/>
    <w:basedOn w:val="5"/>
    <w:qFormat/>
    <w:uiPriority w:val="0"/>
    <w:rPr>
      <w:color w:val="FFFFFF"/>
    </w:rPr>
  </w:style>
  <w:style w:type="character" w:customStyle="1" w:styleId="18">
    <w:name w:val="hover9"/>
    <w:basedOn w:val="5"/>
    <w:qFormat/>
    <w:uiPriority w:val="0"/>
    <w:rPr>
      <w:color w:val="245399"/>
    </w:rPr>
  </w:style>
  <w:style w:type="character" w:customStyle="1" w:styleId="19">
    <w:name w:val="hover10"/>
    <w:basedOn w:val="5"/>
    <w:qFormat/>
    <w:uiPriority w:val="0"/>
    <w:rPr>
      <w:color w:val="245399"/>
    </w:rPr>
  </w:style>
  <w:style w:type="character" w:customStyle="1" w:styleId="20">
    <w:name w:val="hover"/>
    <w:basedOn w:val="5"/>
    <w:qFormat/>
    <w:uiPriority w:val="0"/>
    <w:rPr>
      <w:color w:val="FFFFFF"/>
    </w:rPr>
  </w:style>
  <w:style w:type="character" w:customStyle="1" w:styleId="21">
    <w:name w:val="hover1"/>
    <w:basedOn w:val="5"/>
    <w:qFormat/>
    <w:uiPriority w:val="0"/>
    <w:rPr>
      <w:color w:val="245399"/>
    </w:rPr>
  </w:style>
  <w:style w:type="character" w:customStyle="1" w:styleId="22">
    <w:name w:val="hover2"/>
    <w:basedOn w:val="5"/>
    <w:qFormat/>
    <w:uiPriority w:val="0"/>
    <w:rPr>
      <w:color w:val="245399"/>
    </w:rPr>
  </w:style>
  <w:style w:type="character" w:customStyle="1" w:styleId="23">
    <w:name w:val="hover11"/>
    <w:basedOn w:val="5"/>
    <w:uiPriority w:val="0"/>
    <w:rPr>
      <w:color w:val="FFFFFF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398</Words>
  <Characters>2270</Characters>
  <Lines>18</Lines>
  <Paragraphs>5</Paragraphs>
  <TotalTime>0</TotalTime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2021-01-17T08:55:00Z</dcterms:created>
  <dc:creator>Administrator</dc:creator>
  <cp:lastModifiedBy>Administrator</cp:lastModifiedBy>
  <cp:lastPrinted>2022-01-15T07:03:00Z</cp:lastPrinted>
  <dcterms:modified xsi:type="dcterms:W3CDTF">2022-03-09T09:14:13Z</dcterms:modified>
  <dc:title> 张店区商务局2021年政府信息公开年报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SaveFontToCloudKey">
    <vt:lpwstr>335836446_btnclosed</vt:lpwstr>
  </property>
  <property fmtid="{D5CDD505-2E9C-101B-9397-08002B2CF9AE}" pid="3" name="KSOProductBuildVer">
    <vt:lpwstr>2052-10.1.0.6690</vt:lpwstr>
  </property>
  <property fmtid="{D5CDD505-2E9C-101B-9397-08002B2CF9AE}" pid="4" name="ICV">
    <vt:lpwstr>4D5B8A1EEBA94286A32719340CF3ACBE</vt:lpwstr>
  </property>
</Properties>
</file>