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47" w:beforeAutospacing="0" w:after="47" w:afterAutospacing="0" w:line="560" w:lineRule="atLeast"/>
        <w:ind w:left="47" w:right="47" w:firstLine="501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44"/>
          <w:szCs w:val="44"/>
        </w:rPr>
      </w:pPr>
      <w:r>
        <w:rPr>
          <w:rStyle w:val="5"/>
          <w:rFonts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sz w:val="44"/>
          <w:szCs w:val="44"/>
          <w:shd w:val="clear" w:color="auto" w:fill="FFFFFF"/>
        </w:rPr>
        <w:t>张店区退役军人事务局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47" w:beforeAutospacing="0" w:after="47" w:afterAutospacing="0" w:line="560" w:lineRule="atLeast"/>
        <w:ind w:left="47" w:right="47" w:firstLine="501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44"/>
          <w:szCs w:val="44"/>
        </w:rPr>
      </w:pPr>
      <w:r>
        <w:rPr>
          <w:rStyle w:val="5"/>
          <w:rFonts w:hint="eastAsia"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sz w:val="44"/>
          <w:szCs w:val="44"/>
          <w:shd w:val="clear" w:color="auto" w:fill="FFFFFF"/>
        </w:rPr>
        <w:t>202</w:t>
      </w:r>
      <w:r>
        <w:rPr>
          <w:rStyle w:val="5"/>
          <w:rFonts w:hint="eastAsia"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1</w:t>
      </w:r>
      <w:r>
        <w:rPr>
          <w:rStyle w:val="5"/>
          <w:rFonts w:hint="eastAsia"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sz w:val="44"/>
          <w:szCs w:val="44"/>
          <w:shd w:val="clear" w:color="auto" w:fill="FFFFFF"/>
        </w:rPr>
        <w:t>年政府信息公开工作年度报告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75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</w:pPr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本报告是根据《中华人民共和国政府信息公开条例》（以下简称《条例》）要求</w:t>
      </w: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由张店区退役军人事务局编制。本年度报告中所列数据的统计期限自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年1月1日至12月31日止。本报告电子版可以在张店区退役军人事务局门户网站查阅下载（</w:t>
      </w:r>
      <w:r>
        <w:rPr>
          <w:rFonts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http://www.zhangdian.gov.cn/gongkai/site_zdqtyjrswj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）。如对报告内容有疑问，请与张店区退役军人事务局政务公开工作领导小组办公室联系（地址：张店区马尚街道人民路165号光彩大厦4楼区退役军人事务局，邮编：255020，电话：0533-2180899）。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75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一、总体情况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75"/>
        <w:jc w:val="left"/>
        <w:textAlignment w:val="auto"/>
        <w:outlineLvl w:val="9"/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今年以来，退役军人事务局主动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公开基本信息1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0余项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其中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重点领域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信息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10余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项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履职文件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项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行政执法公示类28项，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公开会议信息及会议解读1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次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，其它主动公开内容50余项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针对政务公开、电话咨询、12345热线中群众咨询多、社会反响强烈问题，坚持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“民生无小事，枝叶总关情”，积极做好公开解读工作，现将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主要情况汇报如下：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675" w:leftChars="0" w:right="0" w:rightChars="0"/>
        <w:jc w:val="left"/>
        <w:textAlignment w:val="auto"/>
        <w:outlineLvl w:val="9"/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（一）</w:t>
      </w: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全局主动公开政府信息的情况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/>
        </w:rPr>
        <w:t>1.基本信息公开。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FFFFFF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FFFFFF" w:fill="FFFFFF"/>
          <w:lang w:val="en-US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FFFFFF" w:fill="FFFFFF"/>
        </w:rPr>
        <w:t>年来，张店区退役军人事务局始终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FFFFFF" w:fill="FFFFFF"/>
          <w:lang w:val="en-US"/>
        </w:rPr>
        <w:t>秉承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FFFFFF" w:fill="FFFFFF"/>
        </w:rPr>
        <w:t>“公开为原则,不公开为例外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FFFFFF" w:fill="FFFFFF"/>
          <w:lang w:val="en-US"/>
        </w:rPr>
        <w:t>”的工作公开原则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FFFFFF" w:fill="FFFFFF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FFFFFF" w:fill="FFFFFF"/>
          <w:lang w:val="en-US"/>
        </w:rPr>
        <w:t>做好政务公开工作。根据单位机构调整和人事任免情况，及时公开并更新单位职能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FFFFFF" w:fill="FFFFFF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FFFFFF" w:fill="FFFFFF"/>
          <w:lang w:val="en-US"/>
        </w:rPr>
        <w:t>领导信息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FFFFFF" w:fill="FFFFFF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FFFFFF" w:fill="FFFFFF"/>
          <w:lang w:val="en-US"/>
        </w:rPr>
        <w:t>岗位编制、内设机构、职责分工，便于群众查询和监督。 强化组织领导，明确工作职责，加强对退役军人相关政策解读，不断提升为民、为退役军人办事的能力，确保本单位政务公开工作有序有效运行。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75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2.公文主动公开。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针对上级部门下发的各类规范公文做好统计登记工作，建立健全“规范文件备案库”。坚持“快捷、高效、便民”原则，畅通便民渠道。通过互联网、电子邮件、电话传真、网络平台、书信涵件、访谈等方式为市民提供监督联系方式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75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3.</w:t>
      </w:r>
      <w:r>
        <w:rPr>
          <w:rStyle w:val="5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会议及重</w:t>
      </w:r>
      <w:r>
        <w:rPr>
          <w:rStyle w:val="5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大决策</w:t>
      </w:r>
      <w:r>
        <w:rPr>
          <w:rStyle w:val="5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主动</w:t>
      </w:r>
      <w:r>
        <w:rPr>
          <w:rStyle w:val="5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公开。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建立完善全局重大决策清单目录，明确重大决策事项预公开范围，对重大决策事项，通过互联网、电子邮件、电话咨询、网络平台、书信函件、正面访谈等多种监督建议方式，畅通群众监督和反应问题渠道。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75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213995</wp:posOffset>
            </wp:positionH>
            <wp:positionV relativeFrom="paragraph">
              <wp:posOffset>1123315</wp:posOffset>
            </wp:positionV>
            <wp:extent cx="5250815" cy="2589530"/>
            <wp:effectExtent l="0" t="0" r="6985" b="1270"/>
            <wp:wrapSquare wrapText="bothSides"/>
            <wp:docPr id="1026" name="图片 1" descr="8cd8186ba63d7d7e23a4242de06b0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1" descr="8cd8186ba63d7d7e23a4242de06b078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50815" cy="25895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5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4.行政权力主动公开。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编制职责边界清单和行政处罚清单，及时公开本年度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权责清单，广泛接受群众监督和意见建议，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做到执法结果公开透明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，让“权力在阳光下运行”。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494" w:firstLineChars="200"/>
        <w:jc w:val="left"/>
        <w:textAlignment w:val="auto"/>
        <w:outlineLvl w:val="9"/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1904365</wp:posOffset>
            </wp:positionH>
            <wp:positionV relativeFrom="page">
              <wp:posOffset>5168265</wp:posOffset>
            </wp:positionV>
            <wp:extent cx="3780155" cy="3576320"/>
            <wp:effectExtent l="0" t="0" r="10795" b="5080"/>
            <wp:wrapTopAndBottom/>
            <wp:docPr id="1027" name="Imag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Image1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80155" cy="3576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54" w:firstLineChars="200"/>
        <w:jc w:val="left"/>
        <w:textAlignment w:val="auto"/>
        <w:outlineLvl w:val="9"/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（二）政府信息依申请公开情况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75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健全依申请公开政府信息制度，规范制定信息公开申请指南</w:t>
      </w:r>
      <w:r>
        <w:rPr>
          <w:rFonts w:hint="eastAsia" w:ascii="仿宋_GB2312" w:hAnsi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基本目录及申请流程图，明确公开信息申请途径、办法以及答复时限等事项。202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年度，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共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收到政府信息公开申请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5项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已均按照相关政策文件在规定期限内答复，答复率100%。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54" w:firstLineChars="200"/>
        <w:jc w:val="left"/>
        <w:textAlignment w:val="auto"/>
        <w:outlineLvl w:val="9"/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（三）政府信息</w:t>
      </w: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管理</w:t>
      </w: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75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着力做好政务信息管理维护工作，继续健全完善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政府信息公开平台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。2021年初，我局召开政务公开培训会议，研究部署年度政务信息公开工作，及时公开信息，推动重大决策部署贯彻落实，继续推进服务理念、服务模式改革。坚持“舆论引导”于“信息服务”之中，不断增强统计信息公开工作的准确性、及时性和权威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75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ascii="楷体_GB2312" w:hAnsi="微软雅黑" w:eastAsia="楷体_GB2312" w:cs="楷体_GB2312"/>
          <w:i w:val="0"/>
          <w:caps w:val="0"/>
          <w:color w:val="000000"/>
          <w:spacing w:val="0"/>
          <w:sz w:val="33"/>
          <w:szCs w:val="33"/>
          <w:shd w:val="clear" w:color="auto" w:fill="FFFFFF"/>
        </w:rPr>
        <w:t>（</w:t>
      </w:r>
      <w:r>
        <w:rPr>
          <w:rFonts w:hint="eastAsia" w:ascii="楷体_GB2312" w:hAnsi="微软雅黑" w:eastAsia="楷体_GB2312" w:cs="楷体_GB2312"/>
          <w:i w:val="0"/>
          <w:caps w:val="0"/>
          <w:color w:val="000000"/>
          <w:spacing w:val="0"/>
          <w:sz w:val="33"/>
          <w:szCs w:val="33"/>
          <w:shd w:val="clear" w:color="auto" w:fill="FFFFFF"/>
          <w:lang w:val="en-US" w:eastAsia="zh-CN"/>
        </w:rPr>
        <w:t>四</w:t>
      </w:r>
      <w:r>
        <w:rPr>
          <w:rFonts w:ascii="楷体_GB2312" w:hAnsi="微软雅黑" w:eastAsia="楷体_GB2312" w:cs="楷体_GB2312"/>
          <w:i w:val="0"/>
          <w:caps w:val="0"/>
          <w:color w:val="000000"/>
          <w:spacing w:val="0"/>
          <w:sz w:val="33"/>
          <w:szCs w:val="33"/>
          <w:shd w:val="clear" w:color="auto" w:fill="FFFFFF"/>
        </w:rPr>
        <w:t>）政府信息公开平台建设情况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75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</w:pPr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sz w:val="33"/>
          <w:szCs w:val="33"/>
          <w:shd w:val="clear" w:color="auto" w:fill="FFFFFF"/>
        </w:rPr>
        <w:t>建成了统一的政府信息公开平台，由区退役军人局政务公开领导小组召开培训会议，研究部署本年度政府信息公开工作。明确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3"/>
          <w:szCs w:val="33"/>
          <w:shd w:val="clear" w:color="auto" w:fill="FFFFFF"/>
        </w:rPr>
        <w:t>1名专职信息公开人员，各科室、各服务中心负责人协同开展政府信息公开工作。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outlineLvl w:val="9"/>
        <w:rPr>
          <w:rFonts w:hint="eastAsia" w:ascii="仿宋_GB2312" w:hAnsi="仿宋_GB2312" w:eastAsia="楷体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 xml:space="preserve"> </w:t>
      </w: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 xml:space="preserve"> </w:t>
      </w: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（</w:t>
      </w: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五</w:t>
      </w: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）</w:t>
      </w: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监督保障工作</w:t>
      </w: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75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局机关高度重视政务公开工作，坚持将政务公开工作情况、社会评议和责任追究纳入年度考核范畴，对标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区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政府信息公开工作年度报告的要求，坚决做好本机关政务公开工作，坚持周汇报、月讲评、季总结、年考核的工作制度，及时查纠问题，及时总结经验，及时解读相关政策文件，严格保密，严格执行。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right="0" w:firstLine="0"/>
        <w:textAlignment w:val="auto"/>
        <w:outlineLvl w:val="9"/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default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二、</w:t>
      </w: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主动公开政府信息情况   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right="0" w:firstLine="0"/>
        <w:textAlignment w:val="auto"/>
        <w:outlineLvl w:val="9"/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</w:p>
    <w:tbl>
      <w:tblPr>
        <w:tblStyle w:val="3"/>
        <w:tblW w:w="8925" w:type="dxa"/>
        <w:tblInd w:w="-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38" w:hRule="atLeast"/>
        </w:trPr>
        <w:tc>
          <w:tcPr>
            <w:tcW w:w="8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tbl>
            <w:tblPr>
              <w:tblStyle w:val="3"/>
              <w:tblpPr w:leftFromText="180" w:rightFromText="180" w:vertAnchor="text" w:horzAnchor="page" w:tblpX="256" w:tblpY="881"/>
              <w:tblOverlap w:val="never"/>
              <w:tblW w:w="8770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439"/>
              <w:gridCol w:w="1991"/>
              <w:gridCol w:w="1950"/>
              <w:gridCol w:w="239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8770" w:type="dxa"/>
                  <w:gridSpan w:val="4"/>
                  <w:tcBorders>
                    <w:bottom w:val="single" w:color="auto" w:sz="4" w:space="0"/>
                  </w:tcBorders>
                  <w:shd w:val="clear" w:color="auto" w:fill="C6D9F1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00" w:beforeAutospacing="0" w:after="10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  <w:t>第二十条第（一）项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2439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00" w:beforeAutospacing="0" w:after="10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  <w:t>信息内容</w:t>
                  </w:r>
                </w:p>
              </w:tc>
              <w:tc>
                <w:tcPr>
                  <w:tcW w:w="199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00" w:beforeAutospacing="0" w:after="100" w:afterAutospacing="0"/>
                    <w:ind w:left="0" w:right="0"/>
                    <w:jc w:val="center"/>
                    <w:rPr>
                      <w:rFonts w:hint="default" w:ascii="仿宋_GB2312" w:hAnsi="仿宋_GB2312" w:eastAsia="仿宋_GB2312" w:cs="仿宋_GB2312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  <w:t>本年</w:t>
                  </w:r>
                  <w:r>
                    <w:rPr>
                      <w:rFonts w:hint="eastAsia" w:ascii="仿宋_GB2312" w:hAnsi="仿宋_GB2312" w:cs="仿宋_GB2312"/>
                      <w:sz w:val="24"/>
                      <w:szCs w:val="24"/>
                      <w:lang w:val="en-US" w:eastAsia="zh-CN"/>
                    </w:rPr>
                    <w:t>制发件数</w:t>
                  </w:r>
                </w:p>
              </w:tc>
              <w:tc>
                <w:tcPr>
                  <w:tcW w:w="195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00" w:beforeAutospacing="0" w:after="100" w:afterAutospacing="0"/>
                    <w:ind w:left="0" w:right="0"/>
                    <w:jc w:val="center"/>
                    <w:rPr>
                      <w:rFonts w:hint="default" w:ascii="仿宋_GB2312" w:hAnsi="仿宋_GB2312" w:eastAsia="仿宋_GB2312" w:cs="仿宋_GB2312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  <w:t>本年</w:t>
                  </w:r>
                  <w:r>
                    <w:rPr>
                      <w:rFonts w:hint="eastAsia" w:ascii="仿宋_GB2312" w:hAnsi="仿宋_GB2312" w:cs="仿宋_GB2312"/>
                      <w:sz w:val="24"/>
                      <w:szCs w:val="24"/>
                      <w:lang w:val="en-US" w:eastAsia="zh-CN"/>
                    </w:rPr>
                    <w:t>废止件数</w:t>
                  </w:r>
                </w:p>
              </w:tc>
              <w:tc>
                <w:tcPr>
                  <w:tcW w:w="239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00" w:beforeAutospacing="0" w:after="100" w:afterAutospacing="0"/>
                    <w:ind w:left="0" w:right="0"/>
                    <w:jc w:val="center"/>
                    <w:rPr>
                      <w:rFonts w:hint="default" w:ascii="仿宋_GB2312" w:hAnsi="仿宋_GB2312" w:eastAsia="仿宋_GB2312" w:cs="仿宋_GB2312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4"/>
                      <w:szCs w:val="24"/>
                      <w:lang w:val="en-US" w:eastAsia="zh-CN"/>
                    </w:rPr>
                    <w:t>现行有效件数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2439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00" w:beforeAutospacing="0" w:after="100" w:afterAutospacing="0"/>
                    <w:ind w:left="0" w:right="0"/>
                    <w:jc w:val="left"/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  <w:t>政策文件</w:t>
                  </w:r>
                </w:p>
              </w:tc>
              <w:tc>
                <w:tcPr>
                  <w:tcW w:w="199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00" w:beforeAutospacing="0" w:after="10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195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00" w:beforeAutospacing="0" w:after="10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239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00" w:beforeAutospacing="0" w:after="10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2439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00" w:beforeAutospacing="0" w:after="100" w:afterAutospacing="0"/>
                    <w:ind w:left="0" w:right="0"/>
                    <w:jc w:val="left"/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  <w:t>规范性文件</w:t>
                  </w:r>
                </w:p>
              </w:tc>
              <w:tc>
                <w:tcPr>
                  <w:tcW w:w="199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00" w:beforeAutospacing="0" w:after="10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95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00" w:beforeAutospacing="0" w:after="10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239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00" w:beforeAutospacing="0" w:after="10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  <w:t>0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8770" w:type="dxa"/>
                  <w:gridSpan w:val="4"/>
                  <w:tcBorders>
                    <w:top w:val="single" w:color="auto" w:sz="4" w:space="0"/>
                    <w:bottom w:val="single" w:color="auto" w:sz="4" w:space="0"/>
                  </w:tcBorders>
                  <w:shd w:val="clear" w:color="auto" w:fill="C6D9F1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00" w:beforeAutospacing="0" w:after="10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  <w:t>第二十条第（五）项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2439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00" w:beforeAutospacing="0" w:after="10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  <w:t>信息内容</w:t>
                  </w:r>
                </w:p>
              </w:tc>
              <w:tc>
                <w:tcPr>
                  <w:tcW w:w="6331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00" w:beforeAutospacing="0" w:after="10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</w:pPr>
                  <w:r>
                    <w:rPr>
                      <w:rFonts w:hint="eastAsia" w:ascii="仿宋_GB2312" w:hAnsi="仿宋_GB2312" w:cs="仿宋_GB2312"/>
                      <w:sz w:val="24"/>
                      <w:szCs w:val="24"/>
                      <w:lang w:val="en-US" w:eastAsia="zh-CN"/>
                    </w:rPr>
                    <w:t>本年</w:t>
                  </w:r>
                  <w:r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  <w:t>处理决定数量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2439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00" w:beforeAutospacing="0" w:after="100" w:afterAutospacing="0"/>
                    <w:ind w:left="0" w:right="0"/>
                    <w:jc w:val="left"/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  <w:t>行政许可</w:t>
                  </w:r>
                </w:p>
              </w:tc>
              <w:tc>
                <w:tcPr>
                  <w:tcW w:w="6331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00" w:beforeAutospacing="0" w:after="10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8770" w:type="dxa"/>
                  <w:gridSpan w:val="4"/>
                  <w:tcBorders>
                    <w:top w:val="single" w:color="auto" w:sz="4" w:space="0"/>
                    <w:bottom w:val="single" w:color="auto" w:sz="4" w:space="0"/>
                  </w:tcBorders>
                  <w:shd w:val="clear" w:color="auto" w:fill="C6D9F1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00" w:beforeAutospacing="0" w:after="10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  <w:t>第二十条第（六）项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2439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00" w:beforeAutospacing="0" w:after="10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  <w:t>信息内容</w:t>
                  </w:r>
                </w:p>
              </w:tc>
              <w:tc>
                <w:tcPr>
                  <w:tcW w:w="6331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00" w:beforeAutospacing="0" w:after="100" w:afterAutospacing="0"/>
                    <w:ind w:left="0" w:right="0"/>
                    <w:jc w:val="center"/>
                    <w:rPr>
                      <w:rFonts w:hint="default" w:ascii="仿宋_GB2312" w:hAnsi="仿宋_GB2312" w:eastAsia="仿宋_GB2312" w:cs="仿宋_GB2312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4"/>
                      <w:szCs w:val="24"/>
                      <w:lang w:val="en-US" w:eastAsia="zh-CN"/>
                    </w:rPr>
                    <w:t>本年处理决定数量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2439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00" w:beforeAutospacing="0" w:after="100" w:afterAutospacing="0"/>
                    <w:ind w:left="0" w:right="0"/>
                    <w:jc w:val="left"/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  <w:t>行政处罚</w:t>
                  </w:r>
                </w:p>
              </w:tc>
              <w:tc>
                <w:tcPr>
                  <w:tcW w:w="6331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00" w:beforeAutospacing="0" w:after="10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  <w:t>0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2439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00" w:beforeAutospacing="0" w:after="100" w:afterAutospacing="0"/>
                    <w:ind w:left="0" w:right="0"/>
                    <w:jc w:val="left"/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  <w:t>行政强制</w:t>
                  </w:r>
                </w:p>
              </w:tc>
              <w:tc>
                <w:tcPr>
                  <w:tcW w:w="6331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00" w:beforeAutospacing="0" w:after="10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  <w:t>0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8770" w:type="dxa"/>
                  <w:gridSpan w:val="4"/>
                  <w:tcBorders>
                    <w:top w:val="single" w:color="auto" w:sz="4" w:space="0"/>
                    <w:bottom w:val="single" w:color="auto" w:sz="4" w:space="0"/>
                  </w:tcBorders>
                  <w:shd w:val="clear" w:color="auto" w:fill="C6D9F1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00" w:beforeAutospacing="0" w:after="10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  <w:t>第二十条第（八）项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2439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00" w:beforeAutospacing="0" w:after="10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  <w:t>信息内容</w:t>
                  </w:r>
                </w:p>
              </w:tc>
              <w:tc>
                <w:tcPr>
                  <w:tcW w:w="6331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00" w:beforeAutospacing="0" w:after="100" w:afterAutospacing="0"/>
                    <w:ind w:left="0" w:right="0"/>
                    <w:jc w:val="center"/>
                    <w:rPr>
                      <w:rFonts w:hint="default" w:ascii="仿宋_GB2312" w:hAnsi="仿宋_GB2312" w:eastAsia="仿宋_GB2312" w:cs="仿宋_GB2312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4"/>
                      <w:szCs w:val="24"/>
                      <w:lang w:val="en-US" w:eastAsia="zh-CN"/>
                    </w:rPr>
                    <w:t>本年收费金额（单位：万元）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2439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00" w:beforeAutospacing="0" w:after="100" w:afterAutospacing="0"/>
                    <w:ind w:left="0" w:right="0"/>
                    <w:jc w:val="left"/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  <w:t>行政事业性</w:t>
                  </w:r>
                  <w:r>
                    <w:rPr>
                      <w:rFonts w:hint="eastAsia" w:ascii="仿宋_GB2312" w:hAnsi="仿宋_GB2312" w:cs="仿宋_GB2312"/>
                      <w:sz w:val="24"/>
                      <w:szCs w:val="24"/>
                      <w:lang w:val="en-US" w:eastAsia="zh-CN"/>
                    </w:rPr>
                    <w:t>收费</w:t>
                  </w:r>
                </w:p>
              </w:tc>
              <w:tc>
                <w:tcPr>
                  <w:tcW w:w="6331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00" w:beforeAutospacing="0" w:after="10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4"/>
                      <w:szCs w:val="24"/>
                    </w:rPr>
                    <w:t>0</w:t>
                  </w:r>
                </w:p>
              </w:tc>
            </w:tr>
          </w:tbl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7" w:beforeAutospacing="0" w:after="47" w:afterAutospacing="0" w:line="391" w:lineRule="atLeast"/>
              <w:ind w:left="0" w:right="47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7" w:beforeAutospacing="0" w:after="47" w:afterAutospacing="0" w:line="560" w:lineRule="exact"/>
              <w:ind w:right="45" w:firstLine="654" w:firstLineChars="200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i w:val="0"/>
                <w:caps w:val="0"/>
                <w:color w:val="000000"/>
                <w:spacing w:val="0"/>
                <w:sz w:val="32"/>
                <w:szCs w:val="32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7" w:beforeAutospacing="0" w:after="47" w:afterAutospacing="0" w:line="560" w:lineRule="exact"/>
              <w:ind w:right="45" w:firstLine="654" w:firstLineChars="200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i w:val="0"/>
                <w:caps w:val="0"/>
                <w:color w:val="000000"/>
                <w:spacing w:val="0"/>
                <w:sz w:val="32"/>
                <w:szCs w:val="32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7" w:beforeAutospacing="0" w:after="47" w:afterAutospacing="0" w:line="560" w:lineRule="exact"/>
              <w:ind w:right="45" w:firstLine="654" w:firstLineChars="200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i w:val="0"/>
                <w:caps w:val="0"/>
                <w:color w:val="000000"/>
                <w:spacing w:val="0"/>
                <w:sz w:val="32"/>
                <w:szCs w:val="32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7" w:beforeAutospacing="0" w:after="47" w:afterAutospacing="0" w:line="560" w:lineRule="exact"/>
              <w:ind w:right="45" w:firstLine="654" w:firstLineChars="200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i w:val="0"/>
                <w:caps w:val="0"/>
                <w:color w:val="000000"/>
                <w:spacing w:val="0"/>
                <w:sz w:val="32"/>
                <w:szCs w:val="32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7" w:beforeAutospacing="0" w:after="47" w:afterAutospacing="0" w:line="560" w:lineRule="exact"/>
              <w:ind w:right="45" w:firstLine="654" w:firstLineChars="200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000000"/>
                <w:spacing w:val="0"/>
                <w:sz w:val="32"/>
                <w:szCs w:val="32"/>
              </w:rPr>
              <w:t>三、收到和处理政府信息公开申请情况</w:t>
            </w:r>
          </w:p>
          <w:tbl>
            <w:tblPr>
              <w:tblStyle w:val="3"/>
              <w:tblW w:w="8780" w:type="dxa"/>
              <w:tblInd w:w="-1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30"/>
              <w:gridCol w:w="615"/>
              <w:gridCol w:w="2580"/>
              <w:gridCol w:w="695"/>
              <w:gridCol w:w="675"/>
              <w:gridCol w:w="735"/>
              <w:gridCol w:w="825"/>
              <w:gridCol w:w="810"/>
              <w:gridCol w:w="615"/>
              <w:gridCol w:w="600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65" w:hRule="atLeast"/>
              </w:trPr>
              <w:tc>
                <w:tcPr>
                  <w:tcW w:w="3825" w:type="dxa"/>
                  <w:gridSpan w:val="3"/>
                  <w:vMerge w:val="restart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（本列数据的勾稽关系为：第一项加第二项之和，等于第三项加第四项之和）</w:t>
                  </w:r>
                </w:p>
              </w:tc>
              <w:tc>
                <w:tcPr>
                  <w:tcW w:w="4955" w:type="dxa"/>
                  <w:gridSpan w:val="7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申请人情况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45" w:hRule="atLeast"/>
              </w:trPr>
              <w:tc>
                <w:tcPr>
                  <w:tcW w:w="3825" w:type="dxa"/>
                  <w:gridSpan w:val="3"/>
                  <w:vMerge w:val="continue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695" w:type="dxa"/>
                  <w:vMerge w:val="restart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自然人</w:t>
                  </w:r>
                </w:p>
              </w:tc>
              <w:tc>
                <w:tcPr>
                  <w:tcW w:w="3660" w:type="dxa"/>
                  <w:gridSpan w:val="5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法人或其他组织</w:t>
                  </w:r>
                </w:p>
              </w:tc>
              <w:tc>
                <w:tcPr>
                  <w:tcW w:w="600" w:type="dxa"/>
                  <w:vMerge w:val="restar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cs="仿宋_GB2312"/>
                      <w:sz w:val="18"/>
                      <w:szCs w:val="18"/>
                      <w:lang w:val="en-US" w:eastAsia="zh-CN"/>
                    </w:rPr>
                    <w:t>总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计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965" w:hRule="atLeast"/>
              </w:trPr>
              <w:tc>
                <w:tcPr>
                  <w:tcW w:w="3825" w:type="dxa"/>
                  <w:gridSpan w:val="3"/>
                  <w:vMerge w:val="continue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69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商业企业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科研机构</w:t>
                  </w:r>
                </w:p>
              </w:tc>
              <w:tc>
                <w:tcPr>
                  <w:tcW w:w="82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社会公益组织</w:t>
                  </w:r>
                </w:p>
              </w:tc>
              <w:tc>
                <w:tcPr>
                  <w:tcW w:w="810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法律服务机构</w:t>
                  </w:r>
                </w:p>
              </w:tc>
              <w:tc>
                <w:tcPr>
                  <w:tcW w:w="61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其他</w:t>
                  </w:r>
                </w:p>
              </w:tc>
              <w:tc>
                <w:tcPr>
                  <w:tcW w:w="600" w:type="dxa"/>
                  <w:vMerge w:val="continue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3825" w:type="dxa"/>
                  <w:gridSpan w:val="3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一、本年新收政府信息公开申请数量</w:t>
                  </w:r>
                </w:p>
              </w:tc>
              <w:tc>
                <w:tcPr>
                  <w:tcW w:w="69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1"/>
                      <w:szCs w:val="21"/>
                      <w:lang w:val="en-US" w:eastAsia="zh-CN"/>
                    </w:rPr>
                    <w:t>5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1"/>
                      <w:szCs w:val="21"/>
                      <w:lang w:val="en-US" w:eastAsia="zh-CN"/>
                    </w:rPr>
                    <w:t>5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3825" w:type="dxa"/>
                  <w:gridSpan w:val="3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left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二、上年结转政府信息公开申请数量</w:t>
                  </w:r>
                </w:p>
              </w:tc>
              <w:tc>
                <w:tcPr>
                  <w:tcW w:w="69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630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三、本年度办理结果</w:t>
                  </w:r>
                </w:p>
              </w:tc>
              <w:tc>
                <w:tcPr>
                  <w:tcW w:w="3195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（一）予以公开</w:t>
                  </w:r>
                </w:p>
              </w:tc>
              <w:tc>
                <w:tcPr>
                  <w:tcW w:w="69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1"/>
                      <w:szCs w:val="21"/>
                      <w:lang w:val="en-US" w:eastAsia="zh-CN"/>
                    </w:rPr>
                    <w:t>0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00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default" w:ascii="仿宋_GB2312" w:hAnsi="仿宋_GB2312" w:eastAsia="仿宋_GB2312" w:cs="仿宋_GB2312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1"/>
                      <w:szCs w:val="21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63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3195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（二）部分公开（区分处理的，只计这一情形，不计其他情形）</w:t>
                  </w:r>
                </w:p>
              </w:tc>
              <w:tc>
                <w:tcPr>
                  <w:tcW w:w="69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63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615" w:type="dxa"/>
                  <w:vMerge w:val="restart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（三）不予公开</w:t>
                  </w:r>
                </w:p>
              </w:tc>
              <w:tc>
                <w:tcPr>
                  <w:tcW w:w="2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1.属于国家秘密</w:t>
                  </w:r>
                </w:p>
              </w:tc>
              <w:tc>
                <w:tcPr>
                  <w:tcW w:w="69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00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45" w:hRule="atLeast"/>
              </w:trPr>
              <w:tc>
                <w:tcPr>
                  <w:tcW w:w="63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61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2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2.其他法律行政法规禁止公开</w:t>
                  </w:r>
                </w:p>
              </w:tc>
              <w:tc>
                <w:tcPr>
                  <w:tcW w:w="69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63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61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2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3.危及“三安全一稳定”</w:t>
                  </w:r>
                </w:p>
              </w:tc>
              <w:tc>
                <w:tcPr>
                  <w:tcW w:w="69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63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61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2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4.保护第三方合法权益</w:t>
                  </w:r>
                </w:p>
              </w:tc>
              <w:tc>
                <w:tcPr>
                  <w:tcW w:w="69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63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61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2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5.属于三类内部事务信息</w:t>
                  </w:r>
                </w:p>
              </w:tc>
              <w:tc>
                <w:tcPr>
                  <w:tcW w:w="69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63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61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2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6.属于四类过程性信息</w:t>
                  </w:r>
                </w:p>
              </w:tc>
              <w:tc>
                <w:tcPr>
                  <w:tcW w:w="69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63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61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2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7.属于行政执法案卷</w:t>
                  </w:r>
                </w:p>
              </w:tc>
              <w:tc>
                <w:tcPr>
                  <w:tcW w:w="69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630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 </w:t>
                  </w:r>
                </w:p>
              </w:tc>
              <w:tc>
                <w:tcPr>
                  <w:tcW w:w="6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 </w:t>
                  </w:r>
                </w:p>
              </w:tc>
              <w:tc>
                <w:tcPr>
                  <w:tcW w:w="2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8.属于行政查询事项</w:t>
                  </w:r>
                </w:p>
              </w:tc>
              <w:tc>
                <w:tcPr>
                  <w:tcW w:w="69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63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615" w:type="dxa"/>
                  <w:vMerge w:val="restart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（四）无法提供</w:t>
                  </w:r>
                </w:p>
              </w:tc>
              <w:tc>
                <w:tcPr>
                  <w:tcW w:w="2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1.本机关不掌握相关政府信息</w:t>
                  </w:r>
                </w:p>
              </w:tc>
              <w:tc>
                <w:tcPr>
                  <w:tcW w:w="69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1"/>
                      <w:szCs w:val="21"/>
                      <w:lang w:val="en-US" w:eastAsia="zh-CN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1"/>
                      <w:szCs w:val="21"/>
                      <w:lang w:val="en-US" w:eastAsia="zh-CN"/>
                    </w:rPr>
                    <w:t>1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63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61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2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2.没有现成信息需要另行制作</w:t>
                  </w:r>
                </w:p>
              </w:tc>
              <w:tc>
                <w:tcPr>
                  <w:tcW w:w="69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default" w:ascii="仿宋_GB2312" w:hAnsi="仿宋_GB2312" w:eastAsia="仿宋_GB2312" w:cs="仿宋_GB2312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1"/>
                      <w:szCs w:val="21"/>
                      <w:lang w:val="en-US" w:eastAsia="zh-CN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1"/>
                      <w:szCs w:val="21"/>
                      <w:lang w:val="en-US" w:eastAsia="zh-CN"/>
                    </w:rPr>
                    <w:t>1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63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61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2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3.补正后申请内容仍不明确</w:t>
                  </w:r>
                </w:p>
              </w:tc>
              <w:tc>
                <w:tcPr>
                  <w:tcW w:w="69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63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615" w:type="dxa"/>
                  <w:vMerge w:val="restart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（五）不予处理</w:t>
                  </w:r>
                </w:p>
              </w:tc>
              <w:tc>
                <w:tcPr>
                  <w:tcW w:w="2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1.信访举报投诉类申请</w:t>
                  </w:r>
                </w:p>
              </w:tc>
              <w:tc>
                <w:tcPr>
                  <w:tcW w:w="69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63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61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2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2.重复申请</w:t>
                  </w:r>
                </w:p>
              </w:tc>
              <w:tc>
                <w:tcPr>
                  <w:tcW w:w="69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1"/>
                      <w:szCs w:val="21"/>
                      <w:lang w:val="en-US" w:eastAsia="zh-CN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default" w:ascii="仿宋_GB2312" w:hAnsi="仿宋_GB2312" w:eastAsia="仿宋_GB2312" w:cs="仿宋_GB2312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1"/>
                      <w:szCs w:val="21"/>
                      <w:lang w:val="en-US" w:eastAsia="zh-CN"/>
                    </w:rPr>
                    <w:t>1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63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61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2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3.要求提供公开出版物</w:t>
                  </w:r>
                </w:p>
              </w:tc>
              <w:tc>
                <w:tcPr>
                  <w:tcW w:w="69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63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61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2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4.无正当理由大量反复申请</w:t>
                  </w:r>
                </w:p>
              </w:tc>
              <w:tc>
                <w:tcPr>
                  <w:tcW w:w="69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63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61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4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2580" w:type="dxa"/>
                  <w:tcBorders>
                    <w:top w:val="nil"/>
                    <w:left w:val="single" w:color="auto" w:sz="4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5.要求行政机关确认或重新出具已获取信息</w:t>
                  </w:r>
                </w:p>
              </w:tc>
              <w:tc>
                <w:tcPr>
                  <w:tcW w:w="69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72" w:hRule="atLeast"/>
              </w:trPr>
              <w:tc>
                <w:tcPr>
                  <w:tcW w:w="63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615" w:type="dxa"/>
                  <w:vMerge w:val="restart"/>
                  <w:tcBorders>
                    <w:top w:val="nil"/>
                    <w:left w:val="nil"/>
                    <w:right w:val="single" w:color="auto" w:sz="4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default" w:ascii="仿宋_GB2312" w:hAnsi="仿宋_GB2312" w:eastAsia="仿宋_GB2312" w:cs="仿宋_GB2312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1"/>
                      <w:szCs w:val="21"/>
                      <w:lang w:eastAsia="zh-CN"/>
                    </w:rPr>
                    <w:t>（</w:t>
                  </w:r>
                  <w:r>
                    <w:rPr>
                      <w:rFonts w:hint="eastAsia" w:ascii="仿宋_GB2312" w:hAnsi="仿宋_GB2312" w:cs="仿宋_GB2312"/>
                      <w:sz w:val="21"/>
                      <w:szCs w:val="21"/>
                      <w:lang w:val="en-US" w:eastAsia="zh-CN"/>
                    </w:rPr>
                    <w:t>六）其他出理</w:t>
                  </w:r>
                </w:p>
              </w:tc>
              <w:tc>
                <w:tcPr>
                  <w:tcW w:w="258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default" w:ascii="仿宋_GB2312" w:hAnsi="仿宋_GB2312" w:eastAsia="仿宋_GB2312" w:cs="仿宋_GB2312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18"/>
                      <w:szCs w:val="18"/>
                      <w:lang w:val="en-US" w:eastAsia="zh-CN"/>
                    </w:rPr>
                    <w:t>1.申请人无正当理由逾期不补正、行政机关不再处理其政府信息公开申请</w:t>
                  </w:r>
                </w:p>
              </w:tc>
              <w:tc>
                <w:tcPr>
                  <w:tcW w:w="69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1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910" w:hRule="atLeast"/>
              </w:trPr>
              <w:tc>
                <w:tcPr>
                  <w:tcW w:w="63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615" w:type="dxa"/>
                  <w:vMerge w:val="continue"/>
                  <w:tcBorders>
                    <w:left w:val="nil"/>
                    <w:bottom w:val="single" w:color="auto" w:sz="8" w:space="0"/>
                    <w:right w:val="single" w:color="auto" w:sz="4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cs="仿宋_GB2312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258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default" w:ascii="仿宋_GB2312" w:hAnsi="仿宋_GB2312" w:cs="仿宋_GB2312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18"/>
                      <w:szCs w:val="18"/>
                      <w:lang w:val="en-US" w:eastAsia="zh-CN"/>
                    </w:rPr>
                    <w:t>2.申请人逾期未按收费通知要求缴纳费用、行政机关不再处理其政府信息公开申请</w:t>
                  </w:r>
                </w:p>
              </w:tc>
              <w:tc>
                <w:tcPr>
                  <w:tcW w:w="69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1"/>
                      <w:szCs w:val="21"/>
                      <w:lang w:val="en-US" w:eastAsia="zh-CN"/>
                    </w:rPr>
                    <w:t>0</w:t>
                  </w:r>
                </w:p>
              </w:tc>
              <w:tc>
                <w:tcPr>
                  <w:tcW w:w="67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1"/>
                      <w:szCs w:val="21"/>
                      <w:lang w:val="en-US" w:eastAsia="zh-CN"/>
                    </w:rPr>
                    <w:t>0</w:t>
                  </w:r>
                </w:p>
              </w:tc>
              <w:tc>
                <w:tcPr>
                  <w:tcW w:w="73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1"/>
                      <w:szCs w:val="21"/>
                      <w:lang w:val="en-US" w:eastAsia="zh-CN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default" w:ascii="仿宋_GB2312" w:hAnsi="仿宋_GB2312" w:eastAsia="仿宋_GB2312" w:cs="仿宋_GB2312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1"/>
                      <w:szCs w:val="21"/>
                      <w:lang w:val="en-US" w:eastAsia="zh-CN"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1"/>
                      <w:szCs w:val="21"/>
                      <w:lang w:val="en-US" w:eastAsia="zh-CN"/>
                    </w:rPr>
                    <w:t>0</w:t>
                  </w:r>
                </w:p>
              </w:tc>
              <w:tc>
                <w:tcPr>
                  <w:tcW w:w="61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1"/>
                      <w:szCs w:val="21"/>
                      <w:lang w:val="en-US" w:eastAsia="zh-CN"/>
                    </w:rPr>
                    <w:t>0</w:t>
                  </w:r>
                </w:p>
              </w:tc>
              <w:tc>
                <w:tcPr>
                  <w:tcW w:w="6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1"/>
                      <w:szCs w:val="21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10" w:hRule="atLeast"/>
              </w:trPr>
              <w:tc>
                <w:tcPr>
                  <w:tcW w:w="63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615" w:type="dxa"/>
                  <w:vMerge w:val="continue"/>
                  <w:tcBorders>
                    <w:left w:val="nil"/>
                    <w:bottom w:val="single" w:color="auto" w:sz="8" w:space="0"/>
                    <w:right w:val="single" w:color="auto" w:sz="4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cs="仿宋_GB2312"/>
                      <w:sz w:val="21"/>
                      <w:szCs w:val="21"/>
                      <w:lang w:eastAsia="zh-CN"/>
                    </w:rPr>
                  </w:pPr>
                </w:p>
              </w:tc>
              <w:tc>
                <w:tcPr>
                  <w:tcW w:w="2580" w:type="dxa"/>
                  <w:tcBorders>
                    <w:top w:val="single" w:color="auto" w:sz="4" w:space="0"/>
                    <w:left w:val="single" w:color="auto" w:sz="4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default" w:ascii="仿宋_GB2312" w:hAnsi="仿宋_GB2312" w:cs="仿宋_GB2312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18"/>
                      <w:szCs w:val="18"/>
                      <w:lang w:val="en-US" w:eastAsia="zh-CN"/>
                    </w:rPr>
                    <w:t>3.其他</w:t>
                  </w:r>
                </w:p>
              </w:tc>
              <w:tc>
                <w:tcPr>
                  <w:tcW w:w="695" w:type="dxa"/>
                  <w:tcBorders>
                    <w:top w:val="single" w:color="auto" w:sz="4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1"/>
                      <w:szCs w:val="21"/>
                      <w:lang w:val="en-US" w:eastAsia="zh-CN"/>
                    </w:rPr>
                    <w:t>2</w:t>
                  </w:r>
                </w:p>
              </w:tc>
              <w:tc>
                <w:tcPr>
                  <w:tcW w:w="675" w:type="dxa"/>
                  <w:tcBorders>
                    <w:top w:val="single" w:color="auto" w:sz="4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1"/>
                      <w:szCs w:val="21"/>
                      <w:lang w:val="en-US" w:eastAsia="zh-CN"/>
                    </w:rPr>
                    <w:t>0</w:t>
                  </w:r>
                </w:p>
              </w:tc>
              <w:tc>
                <w:tcPr>
                  <w:tcW w:w="735" w:type="dxa"/>
                  <w:tcBorders>
                    <w:top w:val="single" w:color="auto" w:sz="4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1"/>
                      <w:szCs w:val="21"/>
                      <w:lang w:val="en-US" w:eastAsia="zh-CN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single" w:color="auto" w:sz="4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1"/>
                      <w:szCs w:val="21"/>
                      <w:lang w:val="en-US" w:eastAsia="zh-CN"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single" w:color="auto" w:sz="4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1"/>
                      <w:szCs w:val="21"/>
                      <w:lang w:val="en-US" w:eastAsia="zh-CN"/>
                    </w:rPr>
                    <w:t>0</w:t>
                  </w:r>
                </w:p>
              </w:tc>
              <w:tc>
                <w:tcPr>
                  <w:tcW w:w="615" w:type="dxa"/>
                  <w:tcBorders>
                    <w:top w:val="single" w:color="auto" w:sz="4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1"/>
                      <w:szCs w:val="21"/>
                      <w:lang w:val="en-US" w:eastAsia="zh-CN"/>
                    </w:rPr>
                    <w:t>0</w:t>
                  </w:r>
                </w:p>
              </w:tc>
              <w:tc>
                <w:tcPr>
                  <w:tcW w:w="600" w:type="dxa"/>
                  <w:tcBorders>
                    <w:top w:val="single" w:color="auto" w:sz="4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default" w:ascii="仿宋_GB2312" w:hAnsi="仿宋_GB2312" w:eastAsia="仿宋_GB2312" w:cs="仿宋_GB2312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1"/>
                      <w:szCs w:val="21"/>
                      <w:lang w:val="en-US" w:eastAsia="zh-CN"/>
                    </w:rPr>
                    <w:t>2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63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</w:p>
              </w:tc>
              <w:tc>
                <w:tcPr>
                  <w:tcW w:w="3195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（七）总计</w:t>
                  </w:r>
                </w:p>
              </w:tc>
              <w:tc>
                <w:tcPr>
                  <w:tcW w:w="69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1"/>
                      <w:szCs w:val="21"/>
                      <w:lang w:val="en-US" w:eastAsia="zh-CN"/>
                    </w:rPr>
                    <w:t>5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仿宋_GB2312" w:hAnsi="仿宋_GB2312" w:cs="仿宋_GB2312"/>
                      <w:sz w:val="21"/>
                      <w:szCs w:val="21"/>
                      <w:lang w:val="en-US" w:eastAsia="zh-CN"/>
                    </w:rPr>
                    <w:t>5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3825" w:type="dxa"/>
                  <w:gridSpan w:val="3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四、结转下年度继续办理</w:t>
                  </w:r>
                </w:p>
              </w:tc>
              <w:tc>
                <w:tcPr>
                  <w:tcW w:w="69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00" w:beforeAutospacing="0" w:after="100" w:afterAutospacing="0" w:line="300" w:lineRule="exact"/>
                    <w:ind w:left="0" w:right="0"/>
                    <w:jc w:val="center"/>
                    <w:textAlignment w:val="auto"/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1"/>
                      <w:szCs w:val="21"/>
                    </w:rPr>
                    <w:t>0</w:t>
                  </w:r>
                </w:p>
              </w:tc>
            </w:tr>
          </w:tbl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7" w:beforeAutospacing="0" w:after="47" w:afterAutospacing="0" w:line="300" w:lineRule="exact"/>
              <w:ind w:left="47" w:right="47" w:firstLine="501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/>
                <w:i w:val="0"/>
                <w:caps w:val="0"/>
                <w:color w:val="000000"/>
                <w:spacing w:val="0"/>
                <w:sz w:val="28"/>
                <w:szCs w:val="28"/>
              </w:rPr>
              <w:t>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7" w:beforeAutospacing="0" w:after="47" w:afterAutospacing="0" w:line="300" w:lineRule="exact"/>
              <w:ind w:left="47" w:right="47" w:firstLine="501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/>
                <w:i w:val="0"/>
                <w:caps w:val="0"/>
                <w:color w:val="000000"/>
                <w:spacing w:val="0"/>
                <w:sz w:val="28"/>
                <w:szCs w:val="2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7" w:beforeAutospacing="0" w:after="47" w:afterAutospacing="0" w:line="391" w:lineRule="atLeast"/>
              <w:ind w:left="47" w:right="47" w:firstLine="501"/>
              <w:jc w:val="left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000000"/>
                <w:spacing w:val="0"/>
                <w:sz w:val="32"/>
                <w:szCs w:val="32"/>
              </w:rPr>
              <w:t>四、政府信息公开行政复议、行政诉讼情况</w:t>
            </w:r>
          </w:p>
          <w:tbl>
            <w:tblPr>
              <w:tblStyle w:val="3"/>
              <w:tblW w:w="8879" w:type="dxa"/>
              <w:tblInd w:w="-11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04"/>
              <w:gridCol w:w="664"/>
              <w:gridCol w:w="694"/>
              <w:gridCol w:w="603"/>
              <w:gridCol w:w="666"/>
              <w:gridCol w:w="558"/>
              <w:gridCol w:w="573"/>
              <w:gridCol w:w="558"/>
              <w:gridCol w:w="573"/>
              <w:gridCol w:w="560"/>
              <w:gridCol w:w="543"/>
              <w:gridCol w:w="543"/>
              <w:gridCol w:w="573"/>
              <w:gridCol w:w="543"/>
              <w:gridCol w:w="624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2" w:hRule="atLeast"/>
              </w:trPr>
              <w:tc>
                <w:tcPr>
                  <w:tcW w:w="3231" w:type="dxa"/>
                  <w:gridSpan w:val="5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行政复议</w:t>
                  </w:r>
                </w:p>
              </w:tc>
              <w:tc>
                <w:tcPr>
                  <w:tcW w:w="5648" w:type="dxa"/>
                  <w:gridSpan w:val="10"/>
                  <w:tcBorders>
                    <w:top w:val="single" w:color="auto" w:sz="8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行政诉讼</w:t>
                  </w:r>
                </w:p>
              </w:tc>
            </w:tr>
            <w:bookmarkEnd w:id="0"/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2" w:hRule="atLeast"/>
              </w:trPr>
              <w:tc>
                <w:tcPr>
                  <w:tcW w:w="604" w:type="dxa"/>
                  <w:vMerge w:val="restart"/>
                  <w:tcBorders>
                    <w:top w:val="single" w:color="auto" w:sz="6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结果维持</w:t>
                  </w:r>
                </w:p>
              </w:tc>
              <w:tc>
                <w:tcPr>
                  <w:tcW w:w="664" w:type="dxa"/>
                  <w:vMerge w:val="restart"/>
                  <w:tcBorders>
                    <w:top w:val="single" w:color="auto" w:sz="6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结果纠正</w:t>
                  </w:r>
                </w:p>
              </w:tc>
              <w:tc>
                <w:tcPr>
                  <w:tcW w:w="694" w:type="dxa"/>
                  <w:vMerge w:val="restart"/>
                  <w:tcBorders>
                    <w:top w:val="single" w:color="auto" w:sz="8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其他结果</w:t>
                  </w:r>
                </w:p>
              </w:tc>
              <w:tc>
                <w:tcPr>
                  <w:tcW w:w="603" w:type="dxa"/>
                  <w:vMerge w:val="restart"/>
                  <w:tcBorders>
                    <w:top w:val="single" w:color="auto" w:sz="8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尚未审结</w:t>
                  </w:r>
                </w:p>
              </w:tc>
              <w:tc>
                <w:tcPr>
                  <w:tcW w:w="666" w:type="dxa"/>
                  <w:vMerge w:val="restart"/>
                  <w:tcBorders>
                    <w:top w:val="single" w:color="auto" w:sz="8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总计</w:t>
                  </w:r>
                </w:p>
              </w:tc>
              <w:tc>
                <w:tcPr>
                  <w:tcW w:w="2822" w:type="dxa"/>
                  <w:gridSpan w:val="5"/>
                  <w:tcBorders>
                    <w:top w:val="single" w:color="auto" w:sz="8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未经复议直接起诉</w:t>
                  </w:r>
                </w:p>
              </w:tc>
              <w:tc>
                <w:tcPr>
                  <w:tcW w:w="2826" w:type="dxa"/>
                  <w:gridSpan w:val="5"/>
                  <w:tcBorders>
                    <w:top w:val="single" w:color="auto" w:sz="8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复议后起诉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43" w:hRule="atLeast"/>
              </w:trPr>
              <w:tc>
                <w:tcPr>
                  <w:tcW w:w="604" w:type="dxa"/>
                  <w:vMerge w:val="continue"/>
                  <w:tcBorders>
                    <w:top w:val="single" w:color="auto" w:sz="6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</w:p>
              </w:tc>
              <w:tc>
                <w:tcPr>
                  <w:tcW w:w="664" w:type="dxa"/>
                  <w:vMerge w:val="continue"/>
                  <w:tcBorders>
                    <w:top w:val="single" w:color="auto" w:sz="6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</w:p>
              </w:tc>
              <w:tc>
                <w:tcPr>
                  <w:tcW w:w="694" w:type="dxa"/>
                  <w:vMerge w:val="continue"/>
                  <w:tcBorders>
                    <w:top w:val="single" w:color="auto" w:sz="8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</w:p>
              </w:tc>
              <w:tc>
                <w:tcPr>
                  <w:tcW w:w="603" w:type="dxa"/>
                  <w:vMerge w:val="continue"/>
                  <w:tcBorders>
                    <w:top w:val="single" w:color="auto" w:sz="8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</w:p>
              </w:tc>
              <w:tc>
                <w:tcPr>
                  <w:tcW w:w="666" w:type="dxa"/>
                  <w:vMerge w:val="continue"/>
                  <w:tcBorders>
                    <w:top w:val="single" w:color="auto" w:sz="8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</w:p>
              </w:tc>
              <w:tc>
                <w:tcPr>
                  <w:tcW w:w="558" w:type="dxa"/>
                  <w:tcBorders>
                    <w:top w:val="single" w:color="auto" w:sz="6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结果维持</w:t>
                  </w:r>
                </w:p>
              </w:tc>
              <w:tc>
                <w:tcPr>
                  <w:tcW w:w="573" w:type="dxa"/>
                  <w:tcBorders>
                    <w:top w:val="single" w:color="auto" w:sz="6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结果纠正</w:t>
                  </w:r>
                </w:p>
              </w:tc>
              <w:tc>
                <w:tcPr>
                  <w:tcW w:w="558" w:type="dxa"/>
                  <w:tcBorders>
                    <w:top w:val="single" w:color="auto" w:sz="8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其他结果</w:t>
                  </w:r>
                </w:p>
              </w:tc>
              <w:tc>
                <w:tcPr>
                  <w:tcW w:w="573" w:type="dxa"/>
                  <w:tcBorders>
                    <w:top w:val="single" w:color="auto" w:sz="8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尚未审结</w:t>
                  </w:r>
                </w:p>
              </w:tc>
              <w:tc>
                <w:tcPr>
                  <w:tcW w:w="560" w:type="dxa"/>
                  <w:tcBorders>
                    <w:top w:val="single" w:color="auto" w:sz="8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总计</w:t>
                  </w:r>
                </w:p>
              </w:tc>
              <w:tc>
                <w:tcPr>
                  <w:tcW w:w="543" w:type="dxa"/>
                  <w:tcBorders>
                    <w:top w:val="single" w:color="auto" w:sz="8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结果维持</w:t>
                  </w:r>
                </w:p>
              </w:tc>
              <w:tc>
                <w:tcPr>
                  <w:tcW w:w="543" w:type="dxa"/>
                  <w:tcBorders>
                    <w:top w:val="single" w:color="auto" w:sz="8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结果纠正</w:t>
                  </w:r>
                </w:p>
              </w:tc>
              <w:tc>
                <w:tcPr>
                  <w:tcW w:w="573" w:type="dxa"/>
                  <w:tcBorders>
                    <w:top w:val="single" w:color="auto" w:sz="8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其他结果</w:t>
                  </w:r>
                </w:p>
              </w:tc>
              <w:tc>
                <w:tcPr>
                  <w:tcW w:w="543" w:type="dxa"/>
                  <w:tcBorders>
                    <w:top w:val="single" w:color="auto" w:sz="8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尚未审结</w:t>
                  </w:r>
                </w:p>
              </w:tc>
              <w:tc>
                <w:tcPr>
                  <w:tcW w:w="624" w:type="dxa"/>
                  <w:tcBorders>
                    <w:top w:val="single" w:color="auto" w:sz="8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总计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4" w:hRule="atLeast"/>
              </w:trPr>
              <w:tc>
                <w:tcPr>
                  <w:tcW w:w="604" w:type="dxa"/>
                  <w:tcBorders>
                    <w:top w:val="single" w:color="auto" w:sz="6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bookmarkStart w:id="1" w:name="_GoBack" w:colFirst="0" w:colLast="14"/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64" w:type="dxa"/>
                  <w:tcBorders>
                    <w:top w:val="single" w:color="auto" w:sz="6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94" w:type="dxa"/>
                  <w:tcBorders>
                    <w:top w:val="single" w:color="auto" w:sz="6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03" w:type="dxa"/>
                  <w:tcBorders>
                    <w:top w:val="single" w:color="auto" w:sz="6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66" w:type="dxa"/>
                  <w:tcBorders>
                    <w:top w:val="single" w:color="auto" w:sz="6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58" w:type="dxa"/>
                  <w:tcBorders>
                    <w:top w:val="single" w:color="auto" w:sz="6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3" w:type="dxa"/>
                  <w:tcBorders>
                    <w:top w:val="single" w:color="auto" w:sz="6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58" w:type="dxa"/>
                  <w:tcBorders>
                    <w:top w:val="single" w:color="auto" w:sz="6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3" w:type="dxa"/>
                  <w:tcBorders>
                    <w:top w:val="single" w:color="auto" w:sz="6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60" w:type="dxa"/>
                  <w:tcBorders>
                    <w:top w:val="single" w:color="auto" w:sz="6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43" w:type="dxa"/>
                  <w:tcBorders>
                    <w:top w:val="single" w:color="auto" w:sz="6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43" w:type="dxa"/>
                  <w:tcBorders>
                    <w:top w:val="single" w:color="auto" w:sz="6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73" w:type="dxa"/>
                  <w:tcBorders>
                    <w:top w:val="single" w:color="auto" w:sz="6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543" w:type="dxa"/>
                  <w:tcBorders>
                    <w:top w:val="single" w:color="auto" w:sz="6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24" w:type="dxa"/>
                  <w:tcBorders>
                    <w:top w:val="single" w:color="auto" w:sz="6" w:space="0"/>
                    <w:left w:val="single" w:color="auto" w:sz="6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10" w:type="dxa"/>
                    <w:right w:w="110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exact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1"/>
                      <w:sz w:val="18"/>
                      <w:szCs w:val="18"/>
                    </w:rPr>
                    <w:t>0</w:t>
                  </w:r>
                </w:p>
              </w:tc>
            </w:tr>
          </w:tbl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 </w:t>
            </w:r>
            <w:r>
              <w:rPr>
                <w:rFonts w:hint="eastAsia" w:ascii="仿宋_GB2312" w:hAnsi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lang w:val="en-US" w:eastAsia="zh-CN"/>
              </w:rPr>
              <w:t xml:space="preserve">                                                                                                                            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outlineLvl w:val="9"/>
        <w:rPr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五、存在的主要问题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及改进情况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73"/>
        <w:textAlignment w:val="auto"/>
        <w:outlineLvl w:val="9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一）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存在的主要问题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73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年，张店区退役军人事务局政府信息公开工作总体上稳步推进，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群众反映良好，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但也存在一些问题，主要表现在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：一是政务信息公开及时与群众知晓率低的矛盾，在政务信息公开时，相关退役军人及军属知晓率较低。二是政府信息公开相关责任人员发挥作用不足，体系建设有待完善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。三是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本机关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信息公开工作人员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理论水平与实践工作水平有待提高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73"/>
        <w:jc w:val="left"/>
        <w:textAlignment w:val="auto"/>
        <w:outlineLvl w:val="9"/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二）改进情况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73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一是拓宽公开渠道。着眼于看似鸡毛蒜皮却关乎人民切身利益之事，换位思考，及时答复人民群众相关申请。立足人民群众实际，就退役军人事务局规划计划、会议公开、政策解读、统计信息等及时通过线上线下全面准确规范公开，提高人民群众政务信息知晓率，让人民群众找准门路、少走弯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54" w:firstLineChars="200"/>
        <w:textAlignment w:val="auto"/>
        <w:outlineLvl w:val="9"/>
        <w:rPr>
          <w:rFonts w:hint="eastAsia"/>
          <w:lang w:val="en-US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二是强化责任主体。持续推进服务理念、服务模式改革，增强责任心，守住本心。将政务信息公开工作纳入“放管服”改革重要内容，按规定公开法定主动公开内容、依申请公开内容，着力提高本机关工作服务水平。做好政务信息公开工作责任人专业技能培训以及思想提升工作，全力推进本机关政务信息工作高效</w:t>
      </w:r>
      <w:r>
        <w:rPr>
          <w:rFonts w:hint="eastAsia"/>
          <w:lang w:val="en-US"/>
        </w:rPr>
        <w:t>稳步推进。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54" w:firstLineChars="200"/>
        <w:textAlignment w:val="auto"/>
        <w:outlineLvl w:val="9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/>
          <w:lang w:val="en-US"/>
        </w:rPr>
        <w:t>三是强化队伍建设。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积极做好业务培训工作，通过举办培训班、以会代训等形式，着力提升政务信息公开工作人员工作和能力水平。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282" w:firstLine="673"/>
        <w:jc w:val="left"/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六、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其他需要报告的事项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282" w:firstLine="673"/>
        <w:jc w:val="left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无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73"/>
        <w:jc w:val="left"/>
        <w:textAlignment w:val="auto"/>
        <w:outlineLvl w:val="9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本报告中所列数据的统计期限自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202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年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1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月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1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日起至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12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月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31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日止，并在张店区人民政府门户网站（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http://www.zhangdian.gov.cn/gongkai/site_zdqtyjrswj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）全文公开。如对本年度报告有任何疑问，请与张店区退役军人事务局办公室联系（电话：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0533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－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2180899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32"/>
          <w:szCs w:val="32"/>
          <w:u w:val="none"/>
          <w:shd w:val="clear" w:color="auto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32"/>
          <w:szCs w:val="32"/>
          <w:u w:val="none"/>
          <w:shd w:val="clear" w:color="auto" w:fill="FFFFFF"/>
        </w:rPr>
        <w:instrText xml:space="preserve"> HYPERLINK "mailto:%E9%82%AE%E7%AE%B1tyjrswj2018@126.com" \t "http://www.zhangdian.gov.cn/gongkai/_blank" </w:instrTex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32"/>
          <w:szCs w:val="32"/>
          <w:u w:val="none"/>
          <w:shd w:val="clear" w:color="auto" w:fill="FFFFFF"/>
        </w:rPr>
        <w:fldChar w:fldCharType="separate"/>
      </w:r>
      <w:r>
        <w:rPr>
          <w:rStyle w:val="6"/>
          <w:rFonts w:hint="eastAsia" w:ascii="仿宋_GB2312" w:hAnsi="微软雅黑" w:eastAsia="仿宋_GB2312" w:cs="仿宋_GB2312"/>
          <w:i w:val="0"/>
          <w:caps w:val="0"/>
          <w:color w:val="0000FF"/>
          <w:spacing w:val="0"/>
          <w:sz w:val="32"/>
          <w:szCs w:val="32"/>
          <w:u w:val="single"/>
          <w:shd w:val="clear" w:color="auto" w:fill="FFFFFF"/>
        </w:rPr>
        <w:t>邮箱</w:t>
      </w:r>
      <w:r>
        <w:rPr>
          <w:rStyle w:val="6"/>
          <w:rFonts w:hint="default" w:ascii="Times New Roman" w:hAnsi="Times New Roman" w:eastAsia="微软雅黑" w:cs="Times New Roman"/>
          <w:i w:val="0"/>
          <w:caps w:val="0"/>
          <w:color w:val="0000FF"/>
          <w:spacing w:val="0"/>
          <w:sz w:val="32"/>
          <w:szCs w:val="32"/>
          <w:u w:val="single"/>
          <w:shd w:val="clear" w:color="auto" w:fill="FFFFFF"/>
        </w:rPr>
        <w:t>tyjrswj2018@126.com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32"/>
          <w:szCs w:val="32"/>
          <w:u w:val="none"/>
          <w:shd w:val="clear" w:color="auto" w:fill="FFFFFF"/>
        </w:rPr>
        <w:fldChar w:fldCharType="end"/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）。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73"/>
        <w:jc w:val="left"/>
        <w:textAlignment w:val="auto"/>
        <w:outlineLvl w:val="9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 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73"/>
        <w:jc w:val="left"/>
        <w:textAlignment w:val="auto"/>
        <w:outlineLvl w:val="9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 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383" w:right="0" w:firstLine="0"/>
        <w:jc w:val="center"/>
        <w:textAlignment w:val="auto"/>
        <w:outlineLvl w:val="9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张店区退役军人事务局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383" w:right="0" w:firstLine="0"/>
        <w:jc w:val="center"/>
        <w:textAlignment w:val="auto"/>
        <w:outlineLvl w:val="9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202</w:t>
      </w:r>
      <w:r>
        <w:rPr>
          <w:rFonts w:hint="eastAsia" w:eastAsia="微软雅黑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微软雅黑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1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日</w:t>
      </w:r>
    </w:p>
    <w:p>
      <w:pPr>
        <w:rPr>
          <w:sz w:val="32"/>
          <w:szCs w:val="32"/>
        </w:rPr>
      </w:pPr>
    </w:p>
    <w:sectPr>
      <w:pgSz w:w="11906" w:h="16838"/>
      <w:pgMar w:top="2098" w:right="1531" w:bottom="2098" w:left="1531" w:header="851" w:footer="992" w:gutter="0"/>
      <w:cols w:space="0" w:num="1"/>
      <w:rtlGutter w:val="0"/>
      <w:docGrid w:type="linesAndChars" w:linePitch="435" w:charSpace="15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1"/>
  <w:embedSystemFonts/>
  <w:documentProtection w:enforcement="0"/>
  <w:defaultTabStop w:val="420"/>
  <w:drawingGridHorizontalSpacing w:val="164"/>
  <w:drawingGridVerticalSpacing w:val="21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00291A"/>
    <w:rsid w:val="72A50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宋体"/>
      <w:snapToGrid w:val="0"/>
      <w:color w:val="000000"/>
      <w:kern w:val="0"/>
      <w:sz w:val="32"/>
      <w:szCs w:val="32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2899</Words>
  <Characters>3109</Characters>
  <Paragraphs>427</Paragraphs>
  <TotalTime>2</TotalTime>
  <ScaleCrop>false</ScaleCrop>
  <LinksUpToDate>false</LinksUpToDate>
  <CharactersWithSpaces>3249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2022-01-12T06:58:00Z</dcterms:created>
  <dc:creator>Administrator</dc:creator>
  <cp:lastModifiedBy>lullaby</cp:lastModifiedBy>
  <cp:lastPrinted>2022-01-14T02:45:00Z</cp:lastPrinted>
  <dcterms:modified xsi:type="dcterms:W3CDTF">2022-03-09T08:34:30Z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10afcac122dc45948c7866240e559546</vt:lpwstr>
  </property>
</Properties>
</file>